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92" w:rsidRDefault="001A7792" w:rsidP="001A7792">
      <w:bookmarkStart w:id="0" w:name="_GoBack"/>
      <w:bookmarkEnd w:id="0"/>
      <w:r>
        <w:rPr>
          <w:rFonts w:ascii="Arial" w:hAnsi="Arial"/>
          <w:b/>
          <w:noProof/>
          <w:sz w:val="28"/>
          <w:lang w:eastAsia="en-GB"/>
        </w:rPr>
        <w:drawing>
          <wp:inline distT="0" distB="0" distL="0" distR="0" wp14:anchorId="52EDF12C" wp14:editId="0D49F42B">
            <wp:extent cx="20955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inline>
        </w:drawing>
      </w:r>
    </w:p>
    <w:p w:rsidR="001A7792" w:rsidRPr="001C28B7" w:rsidRDefault="001C28B7" w:rsidP="001C28B7">
      <w:pPr>
        <w:jc w:val="center"/>
        <w:rPr>
          <w:b/>
          <w:sz w:val="36"/>
          <w:szCs w:val="36"/>
        </w:rPr>
      </w:pPr>
      <w:r w:rsidRPr="001C28B7">
        <w:rPr>
          <w:b/>
          <w:sz w:val="36"/>
          <w:szCs w:val="36"/>
        </w:rPr>
        <w:t xml:space="preserve">MATURE </w:t>
      </w:r>
      <w:r w:rsidR="00492F4F">
        <w:rPr>
          <w:b/>
          <w:sz w:val="36"/>
          <w:szCs w:val="36"/>
        </w:rPr>
        <w:t xml:space="preserve">self-study </w:t>
      </w:r>
      <w:r w:rsidRPr="001C28B7">
        <w:rPr>
          <w:b/>
          <w:sz w:val="36"/>
          <w:szCs w:val="36"/>
        </w:rPr>
        <w:t>training</w:t>
      </w:r>
      <w:r w:rsidR="00492F4F">
        <w:rPr>
          <w:b/>
          <w:sz w:val="36"/>
          <w:szCs w:val="36"/>
        </w:rPr>
        <w:t xml:space="preserve"> programme</w:t>
      </w:r>
    </w:p>
    <w:p w:rsidR="001C28B7" w:rsidRPr="001C28B7" w:rsidRDefault="001C28B7" w:rsidP="001A7792">
      <w:pPr>
        <w:rPr>
          <w:b/>
          <w:sz w:val="28"/>
          <w:szCs w:val="28"/>
        </w:rPr>
      </w:pPr>
      <w:r w:rsidRPr="001C28B7">
        <w:rPr>
          <w:b/>
          <w:sz w:val="28"/>
          <w:szCs w:val="28"/>
        </w:rPr>
        <w:t>Introduction</w:t>
      </w:r>
    </w:p>
    <w:p w:rsidR="001A7792" w:rsidRDefault="001A7792" w:rsidP="001A7792">
      <w:r>
        <w:t>If your interest is sparked by: older people; ageing;  later</w:t>
      </w:r>
      <w:r w:rsidR="00D978D1">
        <w:t>-</w:t>
      </w:r>
      <w:r>
        <w:t>life learning; inclusion; disadvantage; overcoming barriers – read on.</w:t>
      </w:r>
    </w:p>
    <w:p w:rsidR="001A7792" w:rsidRDefault="001A7792" w:rsidP="001A7792">
      <w:r>
        <w:t>If you teach adults; train teachers of adults; have older people in your classes or groups; run events that attract older people; work with seniors in public services, voluntary and community groups or private companies – read on.</w:t>
      </w:r>
    </w:p>
    <w:p w:rsidR="001A7792" w:rsidRDefault="001A7792" w:rsidP="001A7792">
      <w:r>
        <w:t>MATURE training could be just what you are looking for!</w:t>
      </w:r>
    </w:p>
    <w:p w:rsidR="001A7792" w:rsidRPr="001C28B7" w:rsidRDefault="001A7792" w:rsidP="001C28B7">
      <w:pPr>
        <w:jc w:val="both"/>
        <w:rPr>
          <w:b/>
          <w:sz w:val="28"/>
          <w:szCs w:val="28"/>
        </w:rPr>
      </w:pPr>
      <w:r w:rsidRPr="001C28B7">
        <w:rPr>
          <w:b/>
          <w:sz w:val="28"/>
          <w:szCs w:val="28"/>
        </w:rPr>
        <w:t>The MATURE project</w:t>
      </w:r>
    </w:p>
    <w:p w:rsidR="001A7792" w:rsidRDefault="001A7792" w:rsidP="001A7792">
      <w:r>
        <w:t xml:space="preserve">MATURE – Making Adult Teaching Useful, Relevant and Engaging </w:t>
      </w:r>
      <w:r w:rsidRPr="00711076">
        <w:rPr>
          <w:rFonts w:eastAsia="Times New Roman"/>
          <w:sz w:val="24"/>
          <w:szCs w:val="24"/>
          <w:lang w:val="en" w:eastAsia="en-GB"/>
        </w:rPr>
        <w:t xml:space="preserve"> </w:t>
      </w:r>
      <w:r>
        <w:rPr>
          <w:rFonts w:eastAsia="Times New Roman"/>
          <w:sz w:val="24"/>
          <w:szCs w:val="24"/>
          <w:lang w:val="en" w:eastAsia="en-GB"/>
        </w:rPr>
        <w:t xml:space="preserve">- </w:t>
      </w:r>
      <w:hyperlink r:id="rId10" w:history="1">
        <w:r w:rsidRPr="00711076">
          <w:rPr>
            <w:rStyle w:val="Hyperlink"/>
          </w:rPr>
          <w:t>http://matureproject.eu/</w:t>
        </w:r>
      </w:hyperlink>
    </w:p>
    <w:p w:rsidR="00D978D1" w:rsidRDefault="001A7792" w:rsidP="001A7792">
      <w:pPr>
        <w:rPr>
          <w:rFonts w:eastAsia="Times New Roman"/>
          <w:sz w:val="24"/>
          <w:szCs w:val="24"/>
          <w:lang w:val="en" w:eastAsia="en-GB"/>
        </w:rPr>
      </w:pPr>
      <w:r w:rsidRPr="00711076">
        <w:rPr>
          <w:rFonts w:eastAsia="Times New Roman"/>
          <w:sz w:val="24"/>
          <w:szCs w:val="24"/>
          <w:lang w:val="en" w:eastAsia="en-GB"/>
        </w:rPr>
        <w:t>Funded through the European Union Lifelong Lea</w:t>
      </w:r>
      <w:r>
        <w:rPr>
          <w:rFonts w:eastAsia="Times New Roman"/>
          <w:sz w:val="24"/>
          <w:szCs w:val="24"/>
          <w:lang w:val="en" w:eastAsia="en-GB"/>
        </w:rPr>
        <w:t xml:space="preserve">rning Programme (Grundtvig), </w:t>
      </w:r>
      <w:r w:rsidRPr="00711076">
        <w:rPr>
          <w:rFonts w:eastAsia="Times New Roman"/>
          <w:sz w:val="24"/>
          <w:szCs w:val="24"/>
          <w:lang w:val="en" w:eastAsia="en-GB"/>
        </w:rPr>
        <w:t xml:space="preserve">MATURE </w:t>
      </w:r>
      <w:r w:rsidR="00D978D1">
        <w:rPr>
          <w:rFonts w:eastAsia="Times New Roman"/>
          <w:sz w:val="24"/>
          <w:szCs w:val="24"/>
          <w:lang w:val="en" w:eastAsia="en-GB"/>
        </w:rPr>
        <w:t>was</w:t>
      </w:r>
      <w:r>
        <w:rPr>
          <w:rFonts w:eastAsia="Times New Roman"/>
          <w:sz w:val="24"/>
          <w:szCs w:val="24"/>
          <w:lang w:val="en" w:eastAsia="en-GB"/>
        </w:rPr>
        <w:t xml:space="preserve"> a multi-lateral </w:t>
      </w:r>
      <w:r w:rsidRPr="00711076">
        <w:rPr>
          <w:rFonts w:eastAsia="Times New Roman"/>
          <w:sz w:val="24"/>
          <w:szCs w:val="24"/>
          <w:lang w:val="en" w:eastAsia="en-GB"/>
        </w:rPr>
        <w:t xml:space="preserve">project </w:t>
      </w:r>
      <w:r>
        <w:rPr>
          <w:rFonts w:eastAsia="Times New Roman"/>
          <w:sz w:val="24"/>
          <w:szCs w:val="24"/>
          <w:lang w:val="en" w:eastAsia="en-GB"/>
        </w:rPr>
        <w:t>with partners</w:t>
      </w:r>
      <w:r w:rsidRPr="00711076">
        <w:rPr>
          <w:rFonts w:eastAsia="Times New Roman"/>
          <w:sz w:val="24"/>
          <w:szCs w:val="24"/>
          <w:lang w:val="en" w:eastAsia="en-GB"/>
        </w:rPr>
        <w:t xml:space="preserve"> from: Austria, Germany, Greece, Poland, Portugal, Slovenia, Switzerland and the UK. The project</w:t>
      </w:r>
      <w:r>
        <w:rPr>
          <w:rFonts w:eastAsia="Times New Roman"/>
          <w:sz w:val="24"/>
          <w:szCs w:val="24"/>
          <w:lang w:val="en" w:eastAsia="en-GB"/>
        </w:rPr>
        <w:t xml:space="preserve">’s </w:t>
      </w:r>
      <w:r w:rsidR="00D978D1">
        <w:rPr>
          <w:rFonts w:eastAsia="Times New Roman"/>
          <w:sz w:val="24"/>
          <w:szCs w:val="24"/>
          <w:lang w:val="en" w:eastAsia="en-GB"/>
        </w:rPr>
        <w:t>purpose wa</w:t>
      </w:r>
      <w:r w:rsidRPr="00711076">
        <w:rPr>
          <w:rFonts w:eastAsia="Times New Roman"/>
          <w:sz w:val="24"/>
          <w:szCs w:val="24"/>
          <w:lang w:val="en" w:eastAsia="en-GB"/>
        </w:rPr>
        <w:t xml:space="preserve">s to develop and test units of continuing professional development for practitioners in formal and non-formal adult education. </w:t>
      </w:r>
    </w:p>
    <w:p w:rsidR="001A7792" w:rsidRDefault="001A7792" w:rsidP="001A7792">
      <w:pPr>
        <w:rPr>
          <w:sz w:val="24"/>
          <w:szCs w:val="24"/>
          <w:lang w:val="en-US"/>
        </w:rPr>
      </w:pPr>
      <w:r w:rsidRPr="00983A2B">
        <w:t>The MATURE team’s focus</w:t>
      </w:r>
      <w:r>
        <w:t xml:space="preserve"> for the project</w:t>
      </w:r>
      <w:r w:rsidR="00D978D1">
        <w:rPr>
          <w:sz w:val="24"/>
          <w:szCs w:val="24"/>
          <w:lang w:val="en-US"/>
        </w:rPr>
        <w:t xml:space="preserve"> wa</w:t>
      </w:r>
      <w:r w:rsidRPr="00983A2B">
        <w:rPr>
          <w:sz w:val="24"/>
          <w:szCs w:val="24"/>
          <w:lang w:val="en-US"/>
        </w:rPr>
        <w:t>s</w:t>
      </w:r>
      <w:r>
        <w:rPr>
          <w:sz w:val="24"/>
          <w:szCs w:val="24"/>
          <w:lang w:val="en-US"/>
        </w:rPr>
        <w:t xml:space="preserve"> the promotion of skills and strategies </w:t>
      </w:r>
      <w:r w:rsidR="00D978D1">
        <w:rPr>
          <w:sz w:val="24"/>
          <w:szCs w:val="24"/>
          <w:lang w:val="en-US"/>
        </w:rPr>
        <w:t xml:space="preserve">to </w:t>
      </w:r>
      <w:r>
        <w:rPr>
          <w:sz w:val="24"/>
          <w:szCs w:val="24"/>
          <w:lang w:val="en-US"/>
        </w:rPr>
        <w:t xml:space="preserve">enable </w:t>
      </w:r>
      <w:r w:rsidR="00A01973">
        <w:rPr>
          <w:sz w:val="24"/>
          <w:szCs w:val="24"/>
          <w:lang w:val="en-US"/>
        </w:rPr>
        <w:t xml:space="preserve">people </w:t>
      </w:r>
      <w:r>
        <w:rPr>
          <w:sz w:val="24"/>
          <w:szCs w:val="24"/>
          <w:lang w:val="en-US"/>
        </w:rPr>
        <w:t xml:space="preserve">to </w:t>
      </w:r>
      <w:r w:rsidRPr="00711076">
        <w:rPr>
          <w:rFonts w:eastAsia="Times New Roman"/>
          <w:sz w:val="24"/>
          <w:szCs w:val="24"/>
          <w:lang w:val="en" w:eastAsia="en-GB"/>
        </w:rPr>
        <w:t>recognise and deal with age-related barriers to learning such as thos</w:t>
      </w:r>
      <w:r w:rsidR="00D978D1">
        <w:rPr>
          <w:rFonts w:eastAsia="Times New Roman"/>
          <w:sz w:val="24"/>
          <w:szCs w:val="24"/>
          <w:lang w:val="en" w:eastAsia="en-GB"/>
        </w:rPr>
        <w:t xml:space="preserve">e caused by health, dependency, </w:t>
      </w:r>
      <w:r w:rsidRPr="00711076">
        <w:rPr>
          <w:rFonts w:eastAsia="Times New Roman"/>
          <w:sz w:val="24"/>
          <w:szCs w:val="24"/>
          <w:lang w:val="en" w:eastAsia="en-GB"/>
        </w:rPr>
        <w:t xml:space="preserve">cultural and/or attitudinal factors. </w:t>
      </w:r>
      <w:r>
        <w:rPr>
          <w:sz w:val="24"/>
          <w:szCs w:val="24"/>
          <w:lang w:val="en-US"/>
        </w:rPr>
        <w:t xml:space="preserve"> </w:t>
      </w:r>
      <w:r w:rsidR="00D978D1">
        <w:rPr>
          <w:sz w:val="24"/>
          <w:szCs w:val="24"/>
          <w:lang w:val="en-US"/>
        </w:rPr>
        <w:t>This commitment aro</w:t>
      </w:r>
      <w:r w:rsidRPr="00983A2B">
        <w:rPr>
          <w:sz w:val="24"/>
          <w:szCs w:val="24"/>
          <w:lang w:val="en-US"/>
        </w:rPr>
        <w:t>s</w:t>
      </w:r>
      <w:r w:rsidR="00D978D1">
        <w:rPr>
          <w:sz w:val="24"/>
          <w:szCs w:val="24"/>
          <w:lang w:val="en-US"/>
        </w:rPr>
        <w:t>e</w:t>
      </w:r>
      <w:r w:rsidRPr="00983A2B">
        <w:rPr>
          <w:sz w:val="24"/>
          <w:szCs w:val="24"/>
          <w:lang w:val="en-US"/>
        </w:rPr>
        <w:t xml:space="preserve"> from work and experience in later</w:t>
      </w:r>
      <w:r w:rsidR="00D978D1">
        <w:rPr>
          <w:sz w:val="24"/>
          <w:szCs w:val="24"/>
          <w:lang w:val="en-US"/>
        </w:rPr>
        <w:t>-</w:t>
      </w:r>
      <w:r w:rsidRPr="00983A2B">
        <w:rPr>
          <w:sz w:val="24"/>
          <w:szCs w:val="24"/>
          <w:lang w:val="en-US"/>
        </w:rPr>
        <w:t>life learning and in other actions related to the well</w:t>
      </w:r>
      <w:r>
        <w:rPr>
          <w:sz w:val="24"/>
          <w:szCs w:val="24"/>
          <w:lang w:val="en-US"/>
        </w:rPr>
        <w:t>-being of seniors</w:t>
      </w:r>
      <w:r w:rsidRPr="00983A2B">
        <w:rPr>
          <w:sz w:val="24"/>
          <w:szCs w:val="24"/>
          <w:lang w:val="en-US"/>
        </w:rPr>
        <w:t xml:space="preserve"> undertaken by all partners at national level and in </w:t>
      </w:r>
      <w:r>
        <w:rPr>
          <w:sz w:val="24"/>
          <w:szCs w:val="24"/>
          <w:lang w:val="en-US"/>
        </w:rPr>
        <w:t>collaboration</w:t>
      </w:r>
      <w:r w:rsidRPr="00983A2B">
        <w:rPr>
          <w:sz w:val="24"/>
          <w:szCs w:val="24"/>
          <w:lang w:val="en-US"/>
        </w:rPr>
        <w:t xml:space="preserve"> across Europe</w:t>
      </w:r>
      <w:r>
        <w:rPr>
          <w:sz w:val="24"/>
          <w:szCs w:val="24"/>
          <w:lang w:val="en-US"/>
        </w:rPr>
        <w:t xml:space="preserve"> and beyond</w:t>
      </w:r>
      <w:r w:rsidRPr="00983A2B">
        <w:rPr>
          <w:sz w:val="24"/>
          <w:szCs w:val="24"/>
          <w:lang w:val="en-US"/>
        </w:rPr>
        <w:t>.</w:t>
      </w:r>
    </w:p>
    <w:p w:rsidR="001A7792" w:rsidRPr="001C28B7" w:rsidRDefault="001A7792" w:rsidP="001A7792">
      <w:pPr>
        <w:rPr>
          <w:b/>
          <w:sz w:val="28"/>
          <w:szCs w:val="28"/>
          <w:lang w:val="en-US"/>
        </w:rPr>
      </w:pPr>
      <w:r w:rsidRPr="001C28B7">
        <w:rPr>
          <w:b/>
          <w:sz w:val="28"/>
          <w:szCs w:val="28"/>
          <w:lang w:val="en-US"/>
        </w:rPr>
        <w:t>MATURE training</w:t>
      </w:r>
    </w:p>
    <w:p w:rsidR="001A7792" w:rsidRDefault="001A7792" w:rsidP="001A7792">
      <w:pPr>
        <w:rPr>
          <w:sz w:val="24"/>
          <w:szCs w:val="24"/>
          <w:lang w:val="en-US"/>
        </w:rPr>
      </w:pPr>
      <w:r>
        <w:rPr>
          <w:sz w:val="24"/>
          <w:szCs w:val="24"/>
          <w:lang w:val="en-US"/>
        </w:rPr>
        <w:t xml:space="preserve">The premise for MATURE training is that learning has a significant part to play in underpinning a range of actions that support well-being and autonomy in later life. MATURE training challenges </w:t>
      </w:r>
      <w:r w:rsidR="00A01973">
        <w:rPr>
          <w:sz w:val="24"/>
          <w:szCs w:val="24"/>
          <w:lang w:val="en-US"/>
        </w:rPr>
        <w:t xml:space="preserve">people </w:t>
      </w:r>
      <w:r>
        <w:rPr>
          <w:sz w:val="24"/>
          <w:szCs w:val="24"/>
          <w:lang w:val="en-US"/>
        </w:rPr>
        <w:t>to acknowledge and react to this fact in particular seeking to understand and overcome barriers to participation.</w:t>
      </w:r>
    </w:p>
    <w:p w:rsidR="007378B3" w:rsidRPr="001C28B7" w:rsidRDefault="007378B3" w:rsidP="001C28B7">
      <w:pPr>
        <w:rPr>
          <w:rFonts w:eastAsia="Times New Roman"/>
          <w:b/>
          <w:sz w:val="28"/>
          <w:szCs w:val="28"/>
          <w:lang w:val="en" w:eastAsia="en-GB"/>
        </w:rPr>
      </w:pPr>
      <w:r w:rsidRPr="001C28B7">
        <w:rPr>
          <w:rFonts w:eastAsia="Times New Roman"/>
          <w:b/>
          <w:sz w:val="28"/>
          <w:szCs w:val="28"/>
          <w:lang w:val="en" w:eastAsia="en-GB"/>
        </w:rPr>
        <w:t>Why is MATURE training a good idea?</w:t>
      </w:r>
    </w:p>
    <w:p w:rsidR="007378B3" w:rsidRPr="006B1EC8" w:rsidRDefault="007378B3" w:rsidP="007378B3">
      <w:pPr>
        <w:rPr>
          <w:rFonts w:eastAsia="Times New Roman"/>
          <w:sz w:val="24"/>
          <w:szCs w:val="24"/>
          <w:lang w:val="en" w:eastAsia="en-GB"/>
        </w:rPr>
      </w:pPr>
      <w:r w:rsidRPr="006B1EC8">
        <w:rPr>
          <w:rFonts w:eastAsia="Times New Roman"/>
          <w:sz w:val="24"/>
          <w:szCs w:val="24"/>
          <w:lang w:val="en" w:eastAsia="en-GB"/>
        </w:rPr>
        <w:lastRenderedPageBreak/>
        <w:t>There is increasing emphasis in Europe</w:t>
      </w:r>
      <w:r w:rsidR="0053422F" w:rsidRPr="006B1EC8">
        <w:rPr>
          <w:rFonts w:eastAsia="Times New Roman"/>
          <w:sz w:val="24"/>
          <w:szCs w:val="24"/>
          <w:lang w:val="en" w:eastAsia="en-GB"/>
        </w:rPr>
        <w:t>an</w:t>
      </w:r>
      <w:r w:rsidRPr="006B1EC8">
        <w:rPr>
          <w:rFonts w:eastAsia="Times New Roman"/>
          <w:sz w:val="24"/>
          <w:szCs w:val="24"/>
          <w:lang w:val="en" w:eastAsia="en-GB"/>
        </w:rPr>
        <w:t xml:space="preserve"> rhetoric on ‘participation’ as </w:t>
      </w:r>
      <w:r w:rsidR="0053422F" w:rsidRPr="006B1EC8">
        <w:rPr>
          <w:rFonts w:eastAsia="Times New Roman"/>
          <w:sz w:val="24"/>
          <w:szCs w:val="24"/>
          <w:lang w:val="en" w:eastAsia="en-GB"/>
        </w:rPr>
        <w:t>a key contributor to the</w:t>
      </w:r>
      <w:r w:rsidRPr="006B1EC8">
        <w:rPr>
          <w:rFonts w:eastAsia="Times New Roman"/>
          <w:sz w:val="24"/>
          <w:szCs w:val="24"/>
          <w:lang w:val="en" w:eastAsia="en-GB"/>
        </w:rPr>
        <w:t xml:space="preserve"> </w:t>
      </w:r>
      <w:r w:rsidR="0053422F" w:rsidRPr="006B1EC8">
        <w:rPr>
          <w:rFonts w:eastAsia="Times New Roman"/>
          <w:sz w:val="24"/>
          <w:szCs w:val="24"/>
          <w:lang w:val="en" w:eastAsia="en-GB"/>
        </w:rPr>
        <w:t>health of</w:t>
      </w:r>
      <w:r w:rsidRPr="006B1EC8">
        <w:rPr>
          <w:rFonts w:eastAsia="Times New Roman"/>
          <w:sz w:val="24"/>
          <w:szCs w:val="24"/>
          <w:lang w:val="en" w:eastAsia="en-GB"/>
        </w:rPr>
        <w:t xml:space="preserve"> societies and </w:t>
      </w:r>
      <w:r w:rsidR="0053422F" w:rsidRPr="006B1EC8">
        <w:rPr>
          <w:rFonts w:eastAsia="Times New Roman"/>
          <w:sz w:val="24"/>
          <w:szCs w:val="24"/>
          <w:lang w:val="en" w:eastAsia="en-GB"/>
        </w:rPr>
        <w:t>individuals</w:t>
      </w:r>
      <w:r w:rsidRPr="006B1EC8">
        <w:rPr>
          <w:rFonts w:eastAsia="Times New Roman"/>
          <w:sz w:val="24"/>
          <w:szCs w:val="24"/>
          <w:lang w:val="en" w:eastAsia="en-GB"/>
        </w:rPr>
        <w:t>.</w:t>
      </w:r>
      <w:r w:rsidR="0053422F" w:rsidRPr="006B1EC8">
        <w:rPr>
          <w:rFonts w:eastAsia="Times New Roman"/>
          <w:sz w:val="24"/>
          <w:szCs w:val="24"/>
          <w:lang w:val="en" w:eastAsia="en-GB"/>
        </w:rPr>
        <w:t xml:space="preserve"> </w:t>
      </w:r>
    </w:p>
    <w:p w:rsidR="007378B3" w:rsidRPr="006B1EC8" w:rsidRDefault="0053422F" w:rsidP="00D54EDF">
      <w:pPr>
        <w:pStyle w:val="NormalWeb"/>
        <w:pBdr>
          <w:top w:val="single" w:sz="4" w:space="1" w:color="auto"/>
          <w:left w:val="single" w:sz="4" w:space="4" w:color="auto"/>
          <w:bottom w:val="single" w:sz="4" w:space="1" w:color="auto"/>
          <w:right w:val="single" w:sz="4" w:space="4" w:color="auto"/>
        </w:pBdr>
        <w:shd w:val="clear" w:color="auto" w:fill="FFFFFF"/>
        <w:rPr>
          <w:rFonts w:asciiTheme="minorHAnsi" w:hAnsiTheme="minorHAnsi"/>
        </w:rPr>
      </w:pPr>
      <w:r w:rsidRPr="006B1EC8">
        <w:rPr>
          <w:rFonts w:asciiTheme="minorHAnsi" w:hAnsiTheme="minorHAnsi"/>
        </w:rPr>
        <w:t xml:space="preserve"> </w:t>
      </w:r>
      <w:r w:rsidR="007378B3" w:rsidRPr="006B1EC8">
        <w:rPr>
          <w:rFonts w:asciiTheme="minorHAnsi" w:hAnsiTheme="minorHAnsi"/>
        </w:rPr>
        <w:t>‘Enabling older people to live full and independent lives for as long as possible is hugely beneficial – to older people themselves but also to the economy and society as a whole.’</w:t>
      </w:r>
    </w:p>
    <w:p w:rsidR="0053422F" w:rsidRPr="006B1EC8" w:rsidRDefault="0053422F" w:rsidP="00D54EDF">
      <w:pPr>
        <w:pStyle w:val="NormalWeb"/>
        <w:pBdr>
          <w:top w:val="single" w:sz="4" w:space="1" w:color="auto"/>
          <w:left w:val="single" w:sz="4" w:space="4" w:color="auto"/>
          <w:bottom w:val="single" w:sz="4" w:space="1" w:color="auto"/>
          <w:right w:val="single" w:sz="4" w:space="4" w:color="auto"/>
        </w:pBdr>
        <w:shd w:val="clear" w:color="auto" w:fill="FFFFFF"/>
        <w:rPr>
          <w:rFonts w:asciiTheme="minorHAnsi" w:hAnsiTheme="minorHAnsi"/>
        </w:rPr>
      </w:pPr>
      <w:r w:rsidRPr="006B1EC8">
        <w:rPr>
          <w:rFonts w:asciiTheme="minorHAnsi" w:hAnsiTheme="minorHAnsi"/>
        </w:rPr>
        <w:t xml:space="preserve">Demography, Active Ageing and Pensions – Social Europe guide, volume 3 </w:t>
      </w:r>
      <w:hyperlink r:id="rId11" w:history="1">
        <w:r w:rsidRPr="006B1EC8">
          <w:rPr>
            <w:rStyle w:val="Hyperlink"/>
            <w:rFonts w:asciiTheme="minorHAnsi" w:hAnsiTheme="minorHAnsi"/>
          </w:rPr>
          <w:t>http://ec.europa.eu/social/main.jsp?catId=738&amp;langId=en&amp;pubId=6805&amp;type=2&amp;furtherPubs=yes</w:t>
        </w:r>
      </w:hyperlink>
    </w:p>
    <w:p w:rsidR="007378B3" w:rsidRPr="006B1EC8" w:rsidRDefault="007378B3" w:rsidP="007378B3">
      <w:pPr>
        <w:rPr>
          <w:rFonts w:cs="Tahoma"/>
          <w:sz w:val="24"/>
          <w:szCs w:val="24"/>
        </w:rPr>
      </w:pPr>
      <w:r w:rsidRPr="006B1EC8">
        <w:rPr>
          <w:rFonts w:cs="Tahoma"/>
          <w:sz w:val="24"/>
          <w:szCs w:val="24"/>
        </w:rPr>
        <w:t>EU statistics</w:t>
      </w:r>
      <w:r w:rsidR="0098649B">
        <w:rPr>
          <w:rFonts w:cs="Tahoma"/>
          <w:sz w:val="24"/>
          <w:szCs w:val="24"/>
        </w:rPr>
        <w:t xml:space="preserve"> </w:t>
      </w:r>
      <w:r w:rsidRPr="006B1EC8">
        <w:rPr>
          <w:rFonts w:cs="Tahoma"/>
          <w:sz w:val="24"/>
          <w:szCs w:val="24"/>
        </w:rPr>
        <w:t>show declining take</w:t>
      </w:r>
      <w:r w:rsidR="00B26C33">
        <w:rPr>
          <w:rFonts w:cs="Tahoma"/>
          <w:sz w:val="24"/>
          <w:szCs w:val="24"/>
        </w:rPr>
        <w:t>-</w:t>
      </w:r>
      <w:r w:rsidRPr="006B1EC8">
        <w:rPr>
          <w:rFonts w:cs="Tahoma"/>
          <w:sz w:val="24"/>
          <w:szCs w:val="24"/>
        </w:rPr>
        <w:t>up of learning among 55-6</w:t>
      </w:r>
      <w:r w:rsidR="0053422F" w:rsidRPr="006B1EC8">
        <w:rPr>
          <w:rFonts w:cs="Tahoma"/>
          <w:sz w:val="24"/>
          <w:szCs w:val="24"/>
        </w:rPr>
        <w:t>4 year olds (Eurostat 2009) and national data</w:t>
      </w:r>
      <w:r w:rsidRPr="006B1EC8">
        <w:rPr>
          <w:rFonts w:cs="Tahoma"/>
          <w:sz w:val="24"/>
          <w:szCs w:val="24"/>
        </w:rPr>
        <w:t xml:space="preserve"> indicate that participation cont</w:t>
      </w:r>
      <w:r w:rsidR="0053422F" w:rsidRPr="006B1EC8">
        <w:rPr>
          <w:rFonts w:cs="Tahoma"/>
          <w:sz w:val="24"/>
          <w:szCs w:val="24"/>
        </w:rPr>
        <w:t>inues to fall in relation to age.</w:t>
      </w:r>
      <w:r w:rsidRPr="006B1EC8">
        <w:rPr>
          <w:rFonts w:cs="Tahoma"/>
          <w:sz w:val="24"/>
          <w:szCs w:val="24"/>
        </w:rPr>
        <w:t xml:space="preserve"> There is a growing body of research that demonstrates the synergies between learning and improved well-being, health and engagement among older adults. Conversely factors that contribute to non-participation (dependency; ethnicity; gender; prior educational attainment e.g.) increase long</w:t>
      </w:r>
      <w:r w:rsidR="00B26C33">
        <w:rPr>
          <w:rFonts w:cs="Tahoma"/>
          <w:sz w:val="24"/>
          <w:szCs w:val="24"/>
        </w:rPr>
        <w:t>-</w:t>
      </w:r>
      <w:r w:rsidRPr="006B1EC8">
        <w:rPr>
          <w:rFonts w:cs="Tahoma"/>
          <w:sz w:val="24"/>
          <w:szCs w:val="24"/>
        </w:rPr>
        <w:t>term disadv</w:t>
      </w:r>
      <w:r w:rsidR="00C57768">
        <w:rPr>
          <w:rFonts w:cs="Tahoma"/>
          <w:sz w:val="24"/>
          <w:szCs w:val="24"/>
        </w:rPr>
        <w:t>antage.</w:t>
      </w:r>
    </w:p>
    <w:p w:rsidR="00E6220A" w:rsidRPr="006B1EC8" w:rsidRDefault="00E6220A" w:rsidP="007378B3">
      <w:pPr>
        <w:rPr>
          <w:rFonts w:cs="Tahoma"/>
          <w:sz w:val="24"/>
          <w:szCs w:val="24"/>
        </w:rPr>
      </w:pPr>
      <w:r w:rsidRPr="006B1EC8">
        <w:rPr>
          <w:rFonts w:cs="Tahoma"/>
          <w:sz w:val="24"/>
          <w:szCs w:val="24"/>
        </w:rPr>
        <w:t>O</w:t>
      </w:r>
      <w:r w:rsidR="007378B3" w:rsidRPr="006B1EC8">
        <w:rPr>
          <w:rFonts w:cs="Tahoma"/>
          <w:sz w:val="24"/>
          <w:szCs w:val="24"/>
        </w:rPr>
        <w:t xml:space="preserve">lder Europeans with the confidence and skills </w:t>
      </w:r>
      <w:r w:rsidRPr="006B1EC8">
        <w:rPr>
          <w:rFonts w:cs="Tahoma"/>
          <w:sz w:val="24"/>
          <w:szCs w:val="24"/>
        </w:rPr>
        <w:t xml:space="preserve">to </w:t>
      </w:r>
      <w:r w:rsidR="00B26C33" w:rsidRPr="006B1EC8">
        <w:rPr>
          <w:rFonts w:cs="Tahoma"/>
          <w:sz w:val="24"/>
          <w:szCs w:val="24"/>
        </w:rPr>
        <w:t>learn</w:t>
      </w:r>
      <w:r w:rsidRPr="006B1EC8">
        <w:rPr>
          <w:rFonts w:cs="Tahoma"/>
          <w:sz w:val="24"/>
          <w:szCs w:val="24"/>
        </w:rPr>
        <w:t xml:space="preserve"> enjoy far reaching benefits but </w:t>
      </w:r>
      <w:r w:rsidR="007378B3" w:rsidRPr="006B1EC8">
        <w:rPr>
          <w:rFonts w:cs="Tahoma"/>
          <w:sz w:val="24"/>
          <w:szCs w:val="24"/>
        </w:rPr>
        <w:t xml:space="preserve">their numbers are small. </w:t>
      </w:r>
    </w:p>
    <w:p w:rsidR="007378B3" w:rsidRDefault="00E6220A" w:rsidP="007378B3">
      <w:pPr>
        <w:rPr>
          <w:rFonts w:cs="Tahoma"/>
          <w:sz w:val="24"/>
          <w:szCs w:val="24"/>
        </w:rPr>
      </w:pPr>
      <w:r w:rsidRPr="006B1EC8">
        <w:rPr>
          <w:rFonts w:cs="Tahoma"/>
          <w:sz w:val="24"/>
          <w:szCs w:val="24"/>
        </w:rPr>
        <w:t xml:space="preserve">MATURE training supports learning providers in their quest to widen participation from seniors marginalised from group activity. Understanding the impact of disadvantage and sourcing teaching solutions that contribute </w:t>
      </w:r>
      <w:r w:rsidR="006B1EC8" w:rsidRPr="006B1EC8">
        <w:rPr>
          <w:rFonts w:cs="Tahoma"/>
          <w:sz w:val="24"/>
          <w:szCs w:val="24"/>
        </w:rPr>
        <w:t xml:space="preserve">to </w:t>
      </w:r>
      <w:r w:rsidRPr="006B1EC8">
        <w:rPr>
          <w:rFonts w:cs="Tahoma"/>
          <w:sz w:val="24"/>
          <w:szCs w:val="24"/>
        </w:rPr>
        <w:t xml:space="preserve">improved engagement </w:t>
      </w:r>
      <w:r w:rsidR="006B1EC8" w:rsidRPr="006B1EC8">
        <w:rPr>
          <w:rFonts w:cs="Tahoma"/>
          <w:sz w:val="24"/>
          <w:szCs w:val="24"/>
        </w:rPr>
        <w:t xml:space="preserve">is a first step towards making adult teaching relevant and useful. </w:t>
      </w:r>
      <w:r w:rsidRPr="006B1EC8">
        <w:rPr>
          <w:rFonts w:cs="Tahoma"/>
          <w:sz w:val="24"/>
          <w:szCs w:val="24"/>
        </w:rPr>
        <w:t xml:space="preserve">  </w:t>
      </w:r>
    </w:p>
    <w:p w:rsidR="00C67DCD" w:rsidRPr="001C28B7" w:rsidRDefault="00A01973" w:rsidP="001C28B7">
      <w:pPr>
        <w:rPr>
          <w:rFonts w:cs="Tahoma"/>
          <w:b/>
          <w:sz w:val="28"/>
          <w:szCs w:val="28"/>
        </w:rPr>
      </w:pPr>
      <w:r w:rsidRPr="001C28B7">
        <w:rPr>
          <w:rFonts w:cs="Tahoma"/>
          <w:b/>
          <w:sz w:val="28"/>
          <w:szCs w:val="28"/>
        </w:rPr>
        <w:t>What makes MATURE training different?</w:t>
      </w:r>
    </w:p>
    <w:p w:rsidR="001B4C94" w:rsidRPr="001B4C94" w:rsidRDefault="004B1B7E" w:rsidP="001B4C94">
      <w:pPr>
        <w:rPr>
          <w:rFonts w:cs="Tahoma"/>
          <w:sz w:val="24"/>
          <w:szCs w:val="24"/>
        </w:rPr>
      </w:pPr>
      <w:r>
        <w:rPr>
          <w:rFonts w:cs="Tahoma"/>
          <w:sz w:val="24"/>
          <w:szCs w:val="24"/>
        </w:rPr>
        <w:t>MATURE training stimulates a specific view of the nature and value of learning. Aspects of that view will be familiar having been tried and tested at other times with other target groups. MATURE brings forward practice that works and re-packages it in a comprehensive response to an ongoing issue – how to improve participation in learning from among disadvantaged seniors.</w:t>
      </w:r>
    </w:p>
    <w:p w:rsidR="00C67DCD" w:rsidRDefault="004B1B7E" w:rsidP="007378B3">
      <w:pPr>
        <w:rPr>
          <w:rFonts w:eastAsia="Times New Roman"/>
          <w:sz w:val="24"/>
          <w:szCs w:val="24"/>
          <w:lang w:val="en" w:eastAsia="en-GB"/>
        </w:rPr>
      </w:pPr>
      <w:r>
        <w:rPr>
          <w:rFonts w:eastAsia="Times New Roman"/>
          <w:sz w:val="24"/>
          <w:szCs w:val="24"/>
          <w:lang w:val="en" w:eastAsia="en-GB"/>
        </w:rPr>
        <w:t>Key</w:t>
      </w:r>
      <w:r w:rsidR="00AC1ABC">
        <w:rPr>
          <w:rFonts w:eastAsia="Times New Roman"/>
          <w:sz w:val="24"/>
          <w:szCs w:val="24"/>
          <w:lang w:val="en" w:eastAsia="en-GB"/>
        </w:rPr>
        <w:t xml:space="preserve"> features of MATURE training</w:t>
      </w:r>
      <w:r>
        <w:rPr>
          <w:rFonts w:eastAsia="Times New Roman"/>
          <w:sz w:val="24"/>
          <w:szCs w:val="24"/>
          <w:lang w:val="en" w:eastAsia="en-GB"/>
        </w:rPr>
        <w:t>:</w:t>
      </w:r>
    </w:p>
    <w:p w:rsidR="004B1B7E" w:rsidRDefault="00AC1ABC" w:rsidP="004B1B7E">
      <w:pPr>
        <w:pStyle w:val="ListParagraph"/>
        <w:numPr>
          <w:ilvl w:val="0"/>
          <w:numId w:val="18"/>
        </w:numPr>
        <w:rPr>
          <w:rFonts w:eastAsia="Times New Roman"/>
          <w:sz w:val="24"/>
          <w:szCs w:val="24"/>
          <w:lang w:val="en" w:eastAsia="en-GB"/>
        </w:rPr>
      </w:pPr>
      <w:r>
        <w:rPr>
          <w:rFonts w:eastAsia="Times New Roman"/>
          <w:sz w:val="24"/>
          <w:szCs w:val="24"/>
          <w:lang w:val="en" w:eastAsia="en-GB"/>
        </w:rPr>
        <w:t>‘Teaching’ is not confined to ‘teachers’ nor ‘education’ to adult educators.</w:t>
      </w:r>
    </w:p>
    <w:p w:rsidR="00AC1ABC" w:rsidRDefault="00AC1ABC" w:rsidP="004B1B7E">
      <w:pPr>
        <w:pStyle w:val="ListParagraph"/>
        <w:numPr>
          <w:ilvl w:val="0"/>
          <w:numId w:val="18"/>
        </w:numPr>
        <w:rPr>
          <w:rFonts w:eastAsia="Times New Roman"/>
          <w:sz w:val="24"/>
          <w:szCs w:val="24"/>
          <w:lang w:val="en" w:eastAsia="en-GB"/>
        </w:rPr>
      </w:pPr>
      <w:r>
        <w:rPr>
          <w:rFonts w:eastAsia="Times New Roman"/>
          <w:sz w:val="24"/>
          <w:szCs w:val="24"/>
          <w:lang w:val="en" w:eastAsia="en-GB"/>
        </w:rPr>
        <w:t>‘Learning’ has a significant part to play in assuring autonomy and independence in later life.</w:t>
      </w:r>
    </w:p>
    <w:p w:rsidR="00AC1ABC" w:rsidRDefault="00AC1ABC" w:rsidP="004B1B7E">
      <w:pPr>
        <w:pStyle w:val="ListParagraph"/>
        <w:numPr>
          <w:ilvl w:val="0"/>
          <w:numId w:val="18"/>
        </w:numPr>
        <w:rPr>
          <w:rFonts w:eastAsia="Times New Roman"/>
          <w:sz w:val="24"/>
          <w:szCs w:val="24"/>
          <w:lang w:val="en" w:eastAsia="en-GB"/>
        </w:rPr>
      </w:pPr>
      <w:r>
        <w:rPr>
          <w:rFonts w:eastAsia="Times New Roman"/>
          <w:sz w:val="24"/>
          <w:szCs w:val="24"/>
          <w:lang w:val="en" w:eastAsia="en-GB"/>
        </w:rPr>
        <w:t>Partnership work is an essential component of effective teaching and learning.</w:t>
      </w:r>
    </w:p>
    <w:p w:rsidR="00AC1ABC" w:rsidRDefault="00AC1ABC" w:rsidP="004B1B7E">
      <w:pPr>
        <w:pStyle w:val="ListParagraph"/>
        <w:numPr>
          <w:ilvl w:val="0"/>
          <w:numId w:val="18"/>
        </w:numPr>
        <w:rPr>
          <w:rFonts w:eastAsia="Times New Roman"/>
          <w:sz w:val="24"/>
          <w:szCs w:val="24"/>
          <w:lang w:val="en" w:eastAsia="en-GB"/>
        </w:rPr>
      </w:pPr>
      <w:r w:rsidRPr="00AC1ABC">
        <w:rPr>
          <w:rFonts w:eastAsia="Times New Roman"/>
          <w:sz w:val="24"/>
          <w:szCs w:val="24"/>
          <w:lang w:val="en" w:eastAsia="en-GB"/>
        </w:rPr>
        <w:t xml:space="preserve">Organisations and individuals </w:t>
      </w:r>
      <w:r>
        <w:rPr>
          <w:rFonts w:eastAsia="Times New Roman"/>
          <w:sz w:val="24"/>
          <w:szCs w:val="24"/>
          <w:lang w:val="en" w:eastAsia="en-GB"/>
        </w:rPr>
        <w:t xml:space="preserve">outside </w:t>
      </w:r>
      <w:r w:rsidRPr="00AC1ABC">
        <w:rPr>
          <w:rFonts w:eastAsia="Times New Roman"/>
          <w:sz w:val="24"/>
          <w:szCs w:val="24"/>
          <w:lang w:val="en" w:eastAsia="en-GB"/>
        </w:rPr>
        <w:t xml:space="preserve">education are critical in </w:t>
      </w:r>
      <w:r>
        <w:rPr>
          <w:rFonts w:eastAsia="Times New Roman"/>
          <w:sz w:val="24"/>
          <w:szCs w:val="24"/>
          <w:lang w:val="en" w:eastAsia="en-GB"/>
        </w:rPr>
        <w:t>processes to engage and motivate seniors. They play an important role in the creation of learning programmes and in longer-term action-planning.</w:t>
      </w:r>
    </w:p>
    <w:p w:rsidR="00AC1ABC" w:rsidRDefault="00AC1ABC" w:rsidP="004B1B7E">
      <w:pPr>
        <w:pStyle w:val="ListParagraph"/>
        <w:numPr>
          <w:ilvl w:val="0"/>
          <w:numId w:val="18"/>
        </w:numPr>
        <w:rPr>
          <w:rFonts w:eastAsia="Times New Roman"/>
          <w:sz w:val="24"/>
          <w:szCs w:val="24"/>
          <w:lang w:val="en" w:eastAsia="en-GB"/>
        </w:rPr>
      </w:pPr>
      <w:r w:rsidRPr="00AC1ABC">
        <w:rPr>
          <w:rFonts w:eastAsia="Times New Roman"/>
          <w:sz w:val="24"/>
          <w:szCs w:val="24"/>
          <w:lang w:val="en" w:eastAsia="en-GB"/>
        </w:rPr>
        <w:lastRenderedPageBreak/>
        <w:t xml:space="preserve">Collaboration </w:t>
      </w:r>
      <w:r>
        <w:rPr>
          <w:rFonts w:eastAsia="Times New Roman"/>
          <w:sz w:val="24"/>
          <w:szCs w:val="24"/>
          <w:lang w:val="en" w:eastAsia="en-GB"/>
        </w:rPr>
        <w:t>exists at many levels.</w:t>
      </w:r>
      <w:r w:rsidRPr="00AC1ABC">
        <w:rPr>
          <w:rFonts w:eastAsia="Times New Roman"/>
          <w:sz w:val="24"/>
          <w:szCs w:val="24"/>
          <w:lang w:val="en" w:eastAsia="en-GB"/>
        </w:rPr>
        <w:t xml:space="preserve"> </w:t>
      </w:r>
      <w:r>
        <w:rPr>
          <w:rFonts w:eastAsia="Times New Roman"/>
          <w:sz w:val="24"/>
          <w:szCs w:val="24"/>
          <w:lang w:val="en" w:eastAsia="en-GB"/>
        </w:rPr>
        <w:t>It does not have to be subject to complex infrastructures. Informal cooperat</w:t>
      </w:r>
      <w:r w:rsidR="002A489D">
        <w:rPr>
          <w:rFonts w:eastAsia="Times New Roman"/>
          <w:sz w:val="24"/>
          <w:szCs w:val="24"/>
          <w:lang w:val="en" w:eastAsia="en-GB"/>
        </w:rPr>
        <w:t xml:space="preserve">ion between individuals with a shared passion can be as (or more) effective as large-scale partnership practice. </w:t>
      </w:r>
    </w:p>
    <w:p w:rsidR="002A489D" w:rsidRDefault="002A489D" w:rsidP="004B1B7E">
      <w:pPr>
        <w:pStyle w:val="ListParagraph"/>
        <w:numPr>
          <w:ilvl w:val="0"/>
          <w:numId w:val="18"/>
        </w:numPr>
        <w:rPr>
          <w:rFonts w:eastAsia="Times New Roman"/>
          <w:sz w:val="24"/>
          <w:szCs w:val="24"/>
          <w:lang w:val="en" w:eastAsia="en-GB"/>
        </w:rPr>
      </w:pPr>
      <w:r>
        <w:rPr>
          <w:rFonts w:eastAsia="Times New Roman"/>
          <w:sz w:val="24"/>
          <w:szCs w:val="24"/>
          <w:lang w:val="en" w:eastAsia="en-GB"/>
        </w:rPr>
        <w:t xml:space="preserve">The style and content of learning programmes must be determined by the individual needs of the people engaging with them. </w:t>
      </w:r>
    </w:p>
    <w:p w:rsidR="002A489D" w:rsidRDefault="002A489D" w:rsidP="004B1B7E">
      <w:pPr>
        <w:pStyle w:val="ListParagraph"/>
        <w:numPr>
          <w:ilvl w:val="0"/>
          <w:numId w:val="18"/>
        </w:numPr>
        <w:rPr>
          <w:rFonts w:eastAsia="Times New Roman"/>
          <w:sz w:val="24"/>
          <w:szCs w:val="24"/>
          <w:lang w:val="en" w:eastAsia="en-GB"/>
        </w:rPr>
      </w:pPr>
      <w:r>
        <w:rPr>
          <w:rFonts w:eastAsia="Times New Roman"/>
          <w:sz w:val="24"/>
          <w:szCs w:val="24"/>
          <w:lang w:val="en" w:eastAsia="en-GB"/>
        </w:rPr>
        <w:t>A shift in focus from subject or topic-driven learning to skills and competences that contribute to continued well-being makes learning more relevant and more accessible.</w:t>
      </w:r>
    </w:p>
    <w:p w:rsidR="006B519A" w:rsidRDefault="006B519A" w:rsidP="004B1B7E">
      <w:pPr>
        <w:pStyle w:val="ListParagraph"/>
        <w:numPr>
          <w:ilvl w:val="0"/>
          <w:numId w:val="18"/>
        </w:numPr>
        <w:rPr>
          <w:rFonts w:eastAsia="Times New Roman"/>
          <w:sz w:val="24"/>
          <w:szCs w:val="24"/>
          <w:lang w:val="en" w:eastAsia="en-GB"/>
        </w:rPr>
      </w:pPr>
      <w:r>
        <w:rPr>
          <w:rFonts w:eastAsia="Times New Roman"/>
          <w:sz w:val="24"/>
          <w:szCs w:val="24"/>
          <w:lang w:val="en" w:eastAsia="en-GB"/>
        </w:rPr>
        <w:t>Learning in a group is a participatory and active opportunity engaging all members on an equal footing.</w:t>
      </w:r>
    </w:p>
    <w:p w:rsidR="004B1B7E" w:rsidRDefault="006B519A" w:rsidP="004B1B7E">
      <w:pPr>
        <w:pStyle w:val="ListParagraph"/>
        <w:numPr>
          <w:ilvl w:val="0"/>
          <w:numId w:val="18"/>
        </w:numPr>
        <w:rPr>
          <w:rFonts w:eastAsia="Times New Roman"/>
          <w:sz w:val="24"/>
          <w:szCs w:val="24"/>
          <w:lang w:val="en" w:eastAsia="en-GB"/>
        </w:rPr>
      </w:pPr>
      <w:r>
        <w:rPr>
          <w:rFonts w:eastAsia="Times New Roman"/>
          <w:sz w:val="24"/>
          <w:szCs w:val="24"/>
          <w:lang w:val="en" w:eastAsia="en-GB"/>
        </w:rPr>
        <w:t>Aspirations for every learning programme should include</w:t>
      </w:r>
      <w:r w:rsidR="00996935">
        <w:rPr>
          <w:rFonts w:eastAsia="Times New Roman"/>
          <w:sz w:val="24"/>
          <w:szCs w:val="24"/>
          <w:lang w:val="en" w:eastAsia="en-GB"/>
        </w:rPr>
        <w:t>: that participants should learn (or re-learn) how to learn; that what has been learned impacts on life.</w:t>
      </w:r>
    </w:p>
    <w:p w:rsidR="00996935" w:rsidRPr="00996935" w:rsidRDefault="00996935" w:rsidP="00996935">
      <w:pPr>
        <w:pStyle w:val="ListParagraph"/>
        <w:rPr>
          <w:rFonts w:eastAsia="Times New Roman"/>
          <w:sz w:val="24"/>
          <w:szCs w:val="24"/>
          <w:lang w:val="en" w:eastAsia="en-GB"/>
        </w:rPr>
      </w:pPr>
    </w:p>
    <w:p w:rsidR="001A7792" w:rsidRPr="001C28B7" w:rsidRDefault="001A7792" w:rsidP="00CA2E0F">
      <w:pPr>
        <w:rPr>
          <w:b/>
          <w:sz w:val="28"/>
          <w:szCs w:val="28"/>
          <w:lang w:val="en-US"/>
        </w:rPr>
      </w:pPr>
      <w:r w:rsidRPr="001C28B7">
        <w:rPr>
          <w:b/>
          <w:sz w:val="28"/>
          <w:szCs w:val="28"/>
          <w:lang w:val="en-US"/>
        </w:rPr>
        <w:t>Who is MATURE training for?</w:t>
      </w:r>
    </w:p>
    <w:p w:rsidR="001A7792" w:rsidRPr="004E46AB" w:rsidRDefault="001A7792" w:rsidP="001A7792">
      <w:pPr>
        <w:rPr>
          <w:rFonts w:ascii="Calibri" w:hAnsi="Calibri"/>
          <w:sz w:val="24"/>
          <w:szCs w:val="24"/>
        </w:rPr>
      </w:pPr>
      <w:r w:rsidRPr="004E46AB">
        <w:rPr>
          <w:rFonts w:ascii="Calibri" w:hAnsi="Calibri"/>
          <w:sz w:val="24"/>
          <w:szCs w:val="24"/>
        </w:rPr>
        <w:t>MATURE takes the broadest possible view of a ‘teacher of adults’</w:t>
      </w:r>
      <w:r>
        <w:rPr>
          <w:rFonts w:ascii="Calibri" w:hAnsi="Calibri"/>
          <w:sz w:val="24"/>
          <w:szCs w:val="24"/>
        </w:rPr>
        <w:t xml:space="preserve"> so</w:t>
      </w:r>
      <w:r w:rsidRPr="004E46AB">
        <w:rPr>
          <w:rFonts w:ascii="Calibri" w:hAnsi="Calibri"/>
          <w:sz w:val="24"/>
          <w:szCs w:val="24"/>
        </w:rPr>
        <w:t xml:space="preserve"> target audi</w:t>
      </w:r>
      <w:r>
        <w:rPr>
          <w:rFonts w:ascii="Calibri" w:hAnsi="Calibri"/>
          <w:sz w:val="24"/>
          <w:szCs w:val="24"/>
        </w:rPr>
        <w:t xml:space="preserve">ences for training </w:t>
      </w:r>
      <w:r w:rsidRPr="004E46AB">
        <w:rPr>
          <w:rFonts w:ascii="Calibri" w:hAnsi="Calibri"/>
          <w:sz w:val="24"/>
          <w:szCs w:val="24"/>
        </w:rPr>
        <w:t>include:</w:t>
      </w:r>
    </w:p>
    <w:p w:rsidR="001A7792" w:rsidRPr="004E46AB" w:rsidRDefault="001A7792" w:rsidP="001A7792">
      <w:pPr>
        <w:numPr>
          <w:ilvl w:val="0"/>
          <w:numId w:val="2"/>
        </w:numPr>
        <w:spacing w:after="0" w:line="240" w:lineRule="auto"/>
        <w:rPr>
          <w:rFonts w:ascii="Calibri" w:hAnsi="Calibri" w:cs="Tahoma"/>
          <w:sz w:val="24"/>
          <w:szCs w:val="24"/>
        </w:rPr>
      </w:pPr>
      <w:r w:rsidRPr="004E46AB">
        <w:rPr>
          <w:rFonts w:ascii="Calibri" w:hAnsi="Calibri" w:cs="Tahoma"/>
          <w:sz w:val="24"/>
          <w:szCs w:val="24"/>
        </w:rPr>
        <w:t xml:space="preserve">professional teachers of adults; </w:t>
      </w:r>
    </w:p>
    <w:p w:rsidR="001A7792" w:rsidRPr="004E46AB" w:rsidRDefault="001A7792" w:rsidP="001A7792">
      <w:pPr>
        <w:numPr>
          <w:ilvl w:val="0"/>
          <w:numId w:val="2"/>
        </w:numPr>
        <w:spacing w:after="0" w:line="240" w:lineRule="auto"/>
        <w:rPr>
          <w:rFonts w:ascii="Calibri" w:hAnsi="Calibri" w:cs="Tahoma"/>
          <w:sz w:val="24"/>
          <w:szCs w:val="24"/>
        </w:rPr>
      </w:pPr>
      <w:r w:rsidRPr="004E46AB">
        <w:rPr>
          <w:rFonts w:ascii="Calibri" w:hAnsi="Calibri" w:cs="Tahoma"/>
          <w:sz w:val="24"/>
          <w:szCs w:val="24"/>
        </w:rPr>
        <w:t xml:space="preserve">professional teachers from other educational sectors; </w:t>
      </w:r>
    </w:p>
    <w:p w:rsidR="001A7792" w:rsidRPr="004E46AB" w:rsidRDefault="001A7792" w:rsidP="001A7792">
      <w:pPr>
        <w:numPr>
          <w:ilvl w:val="0"/>
          <w:numId w:val="2"/>
        </w:numPr>
        <w:spacing w:after="0" w:line="240" w:lineRule="auto"/>
        <w:rPr>
          <w:rFonts w:ascii="Calibri" w:hAnsi="Calibri" w:cs="Tahoma"/>
          <w:sz w:val="24"/>
          <w:szCs w:val="24"/>
        </w:rPr>
      </w:pPr>
      <w:r w:rsidRPr="004E46AB">
        <w:rPr>
          <w:rFonts w:ascii="Calibri" w:hAnsi="Calibri" w:cs="Tahoma"/>
          <w:sz w:val="24"/>
          <w:szCs w:val="24"/>
        </w:rPr>
        <w:t xml:space="preserve">volunteer teachers; </w:t>
      </w:r>
    </w:p>
    <w:p w:rsidR="001A7792" w:rsidRPr="004E46AB" w:rsidRDefault="001A7792" w:rsidP="001A7792">
      <w:pPr>
        <w:numPr>
          <w:ilvl w:val="0"/>
          <w:numId w:val="2"/>
        </w:numPr>
        <w:spacing w:after="0" w:line="240" w:lineRule="auto"/>
        <w:rPr>
          <w:rFonts w:ascii="Calibri" w:hAnsi="Calibri" w:cs="Tahoma"/>
          <w:sz w:val="24"/>
          <w:szCs w:val="24"/>
        </w:rPr>
      </w:pPr>
      <w:r w:rsidRPr="004E46AB">
        <w:rPr>
          <w:rFonts w:ascii="Calibri" w:hAnsi="Calibri" w:cs="Tahoma"/>
          <w:sz w:val="24"/>
          <w:szCs w:val="24"/>
        </w:rPr>
        <w:t xml:space="preserve">individuals with a particular skill to share; </w:t>
      </w:r>
    </w:p>
    <w:p w:rsidR="001A7792" w:rsidRPr="004E46AB" w:rsidRDefault="001A7792" w:rsidP="001A7792">
      <w:pPr>
        <w:numPr>
          <w:ilvl w:val="0"/>
          <w:numId w:val="2"/>
        </w:numPr>
        <w:spacing w:after="0" w:line="240" w:lineRule="auto"/>
        <w:rPr>
          <w:rFonts w:ascii="Calibri" w:hAnsi="Calibri"/>
          <w:sz w:val="24"/>
          <w:szCs w:val="24"/>
        </w:rPr>
      </w:pPr>
      <w:r w:rsidRPr="004E46AB">
        <w:rPr>
          <w:rFonts w:ascii="Calibri" w:hAnsi="Calibri"/>
          <w:sz w:val="24"/>
          <w:szCs w:val="24"/>
        </w:rPr>
        <w:t>adult education entrepreneurs (commercial providers; NGOs; companies);</w:t>
      </w:r>
    </w:p>
    <w:p w:rsidR="001A7792" w:rsidRPr="004E46AB" w:rsidRDefault="001A7792" w:rsidP="001A7792">
      <w:pPr>
        <w:numPr>
          <w:ilvl w:val="0"/>
          <w:numId w:val="2"/>
        </w:numPr>
        <w:spacing w:after="0" w:line="240" w:lineRule="auto"/>
        <w:rPr>
          <w:rFonts w:ascii="Calibri" w:hAnsi="Calibri"/>
          <w:sz w:val="24"/>
          <w:szCs w:val="24"/>
        </w:rPr>
      </w:pPr>
      <w:r w:rsidRPr="004E46AB">
        <w:rPr>
          <w:rFonts w:ascii="Calibri" w:hAnsi="Calibri"/>
          <w:sz w:val="24"/>
          <w:szCs w:val="24"/>
        </w:rPr>
        <w:t>adult education planners;</w:t>
      </w:r>
    </w:p>
    <w:p w:rsidR="001A7792" w:rsidRPr="004E46AB" w:rsidRDefault="001A7792" w:rsidP="001A7792">
      <w:pPr>
        <w:numPr>
          <w:ilvl w:val="0"/>
          <w:numId w:val="2"/>
        </w:numPr>
        <w:spacing w:after="0" w:line="240" w:lineRule="auto"/>
        <w:rPr>
          <w:rFonts w:ascii="Calibri" w:hAnsi="Calibri" w:cs="Tahoma"/>
          <w:sz w:val="24"/>
          <w:szCs w:val="24"/>
        </w:rPr>
      </w:pPr>
      <w:r w:rsidRPr="004E46AB">
        <w:rPr>
          <w:rFonts w:ascii="Calibri" w:hAnsi="Calibri" w:cs="Tahoma"/>
          <w:sz w:val="24"/>
          <w:szCs w:val="24"/>
        </w:rPr>
        <w:t xml:space="preserve">professionals and volunteers in services that do not have education as their main activity (health organisations; care workers;  housing providers and services within housing, for example); </w:t>
      </w:r>
    </w:p>
    <w:p w:rsidR="001A7792" w:rsidRPr="004E46AB" w:rsidRDefault="001A7792" w:rsidP="001A7792">
      <w:pPr>
        <w:numPr>
          <w:ilvl w:val="0"/>
          <w:numId w:val="2"/>
        </w:numPr>
        <w:spacing w:after="0" w:line="240" w:lineRule="auto"/>
        <w:rPr>
          <w:rFonts w:ascii="Calibri" w:hAnsi="Calibri" w:cs="Tahoma"/>
          <w:sz w:val="24"/>
          <w:szCs w:val="24"/>
        </w:rPr>
      </w:pPr>
      <w:r w:rsidRPr="004E46AB">
        <w:rPr>
          <w:rFonts w:ascii="Calibri" w:hAnsi="Calibri" w:cs="Tahoma"/>
          <w:sz w:val="24"/>
          <w:szCs w:val="24"/>
        </w:rPr>
        <w:t>facilitators of clubs and other informal meeting groups.</w:t>
      </w:r>
    </w:p>
    <w:p w:rsidR="001A7792" w:rsidRPr="004E46AB" w:rsidRDefault="001A7792" w:rsidP="001A7792">
      <w:pPr>
        <w:spacing w:after="0" w:line="240" w:lineRule="auto"/>
        <w:rPr>
          <w:rFonts w:ascii="Calibri" w:hAnsi="Calibri" w:cs="Tahoma"/>
          <w:sz w:val="24"/>
          <w:szCs w:val="24"/>
        </w:rPr>
      </w:pPr>
    </w:p>
    <w:p w:rsidR="001A7792" w:rsidRPr="00CA2E0F" w:rsidRDefault="001A7792" w:rsidP="00CA2E0F">
      <w:pPr>
        <w:spacing w:after="0" w:line="240" w:lineRule="auto"/>
        <w:rPr>
          <w:rFonts w:ascii="Calibri" w:hAnsi="Calibri" w:cs="Tahoma"/>
          <w:b/>
          <w:sz w:val="28"/>
          <w:szCs w:val="28"/>
        </w:rPr>
      </w:pPr>
      <w:r w:rsidRPr="00CA2E0F">
        <w:rPr>
          <w:rFonts w:ascii="Calibri" w:hAnsi="Calibri" w:cs="Tahoma"/>
          <w:b/>
          <w:sz w:val="28"/>
          <w:szCs w:val="28"/>
        </w:rPr>
        <w:t>What teacher competences does MATURE promote?</w:t>
      </w:r>
    </w:p>
    <w:p w:rsidR="001A7792" w:rsidRPr="006A07C1" w:rsidRDefault="001A7792" w:rsidP="001A7792">
      <w:pPr>
        <w:spacing w:after="0" w:line="240" w:lineRule="auto"/>
        <w:ind w:left="360"/>
        <w:rPr>
          <w:rFonts w:ascii="Calibri" w:hAnsi="Calibri" w:cs="Tahoma"/>
        </w:rPr>
      </w:pPr>
    </w:p>
    <w:p w:rsidR="001A7792" w:rsidRPr="004E46AB" w:rsidRDefault="001A7792" w:rsidP="001A7792">
      <w:pPr>
        <w:autoSpaceDE w:val="0"/>
        <w:autoSpaceDN w:val="0"/>
        <w:adjustRightInd w:val="0"/>
        <w:rPr>
          <w:rFonts w:ascii="Calibri" w:hAnsi="Calibri"/>
          <w:sz w:val="24"/>
          <w:szCs w:val="24"/>
        </w:rPr>
      </w:pPr>
      <w:r w:rsidRPr="004E46AB">
        <w:rPr>
          <w:rFonts w:ascii="Calibri" w:hAnsi="Calibri"/>
          <w:sz w:val="24"/>
          <w:szCs w:val="24"/>
        </w:rPr>
        <w:t>MATURE’S training has been developed within the context of key European policy and practice relating to teacher training and lifelong learning.</w:t>
      </w:r>
    </w:p>
    <w:p w:rsidR="001A7792" w:rsidRPr="004E46AB" w:rsidRDefault="001A7792" w:rsidP="001A7792">
      <w:pPr>
        <w:autoSpaceDE w:val="0"/>
        <w:autoSpaceDN w:val="0"/>
        <w:adjustRightInd w:val="0"/>
        <w:rPr>
          <w:rFonts w:ascii="Calibri" w:hAnsi="Calibri"/>
          <w:sz w:val="24"/>
          <w:szCs w:val="24"/>
        </w:rPr>
      </w:pPr>
      <w:r w:rsidRPr="004E46AB">
        <w:rPr>
          <w:rFonts w:ascii="Calibri" w:hAnsi="Calibri"/>
          <w:sz w:val="24"/>
          <w:szCs w:val="24"/>
        </w:rPr>
        <w:t>The knowledge base for MATURE training will include:</w:t>
      </w:r>
    </w:p>
    <w:p w:rsidR="001A7792" w:rsidRPr="004E46AB" w:rsidRDefault="001A7792" w:rsidP="001A7792">
      <w:pPr>
        <w:numPr>
          <w:ilvl w:val="0"/>
          <w:numId w:val="3"/>
        </w:numPr>
        <w:autoSpaceDE w:val="0"/>
        <w:autoSpaceDN w:val="0"/>
        <w:adjustRightInd w:val="0"/>
        <w:spacing w:after="0" w:line="240" w:lineRule="auto"/>
        <w:rPr>
          <w:rFonts w:ascii="Calibri" w:hAnsi="Calibri"/>
          <w:sz w:val="24"/>
          <w:szCs w:val="24"/>
        </w:rPr>
      </w:pPr>
      <w:r w:rsidRPr="004E46AB">
        <w:rPr>
          <w:rFonts w:ascii="Calibri" w:hAnsi="Calibri"/>
          <w:sz w:val="24"/>
          <w:szCs w:val="24"/>
        </w:rPr>
        <w:t xml:space="preserve">understanding of the ageing process, its advantages and disadvantages; </w:t>
      </w:r>
    </w:p>
    <w:p w:rsidR="001A7792" w:rsidRPr="004E46AB" w:rsidRDefault="001A7792" w:rsidP="001A7792">
      <w:pPr>
        <w:numPr>
          <w:ilvl w:val="0"/>
          <w:numId w:val="3"/>
        </w:numPr>
        <w:autoSpaceDE w:val="0"/>
        <w:autoSpaceDN w:val="0"/>
        <w:adjustRightInd w:val="0"/>
        <w:spacing w:after="0" w:line="240" w:lineRule="auto"/>
        <w:rPr>
          <w:rFonts w:ascii="Calibri" w:hAnsi="Calibri"/>
          <w:sz w:val="24"/>
          <w:szCs w:val="24"/>
        </w:rPr>
      </w:pPr>
      <w:r w:rsidRPr="004E46AB">
        <w:rPr>
          <w:rFonts w:ascii="Calibri" w:hAnsi="Calibri"/>
          <w:sz w:val="24"/>
          <w:szCs w:val="24"/>
        </w:rPr>
        <w:t>recognition of the links between learning and ageing;</w:t>
      </w:r>
    </w:p>
    <w:p w:rsidR="001A7792" w:rsidRPr="004E46AB" w:rsidRDefault="001A7792" w:rsidP="001A7792">
      <w:pPr>
        <w:numPr>
          <w:ilvl w:val="0"/>
          <w:numId w:val="3"/>
        </w:numPr>
        <w:autoSpaceDE w:val="0"/>
        <w:autoSpaceDN w:val="0"/>
        <w:adjustRightInd w:val="0"/>
        <w:spacing w:after="0" w:line="240" w:lineRule="auto"/>
        <w:rPr>
          <w:rFonts w:ascii="Calibri" w:hAnsi="Calibri"/>
          <w:sz w:val="24"/>
          <w:szCs w:val="24"/>
        </w:rPr>
      </w:pPr>
      <w:r w:rsidRPr="004E46AB">
        <w:rPr>
          <w:rFonts w:ascii="Calibri" w:hAnsi="Calibri"/>
          <w:sz w:val="24"/>
          <w:szCs w:val="24"/>
        </w:rPr>
        <w:t>comprehension of later</w:t>
      </w:r>
      <w:r w:rsidR="001C28B7">
        <w:rPr>
          <w:rFonts w:ascii="Calibri" w:hAnsi="Calibri"/>
          <w:sz w:val="24"/>
          <w:szCs w:val="24"/>
        </w:rPr>
        <w:t>-</w:t>
      </w:r>
      <w:r w:rsidRPr="004E46AB">
        <w:rPr>
          <w:rFonts w:ascii="Calibri" w:hAnsi="Calibri"/>
          <w:sz w:val="24"/>
          <w:szCs w:val="24"/>
        </w:rPr>
        <w:t>life issues;</w:t>
      </w:r>
    </w:p>
    <w:p w:rsidR="001A7792" w:rsidRPr="004E46AB" w:rsidRDefault="001A7792" w:rsidP="001A7792">
      <w:pPr>
        <w:numPr>
          <w:ilvl w:val="0"/>
          <w:numId w:val="3"/>
        </w:numPr>
        <w:autoSpaceDE w:val="0"/>
        <w:autoSpaceDN w:val="0"/>
        <w:adjustRightInd w:val="0"/>
        <w:spacing w:after="0" w:line="240" w:lineRule="auto"/>
        <w:rPr>
          <w:rFonts w:ascii="Calibri" w:hAnsi="Calibri"/>
          <w:sz w:val="24"/>
          <w:szCs w:val="24"/>
        </w:rPr>
      </w:pPr>
      <w:r w:rsidRPr="004E46AB">
        <w:rPr>
          <w:rFonts w:ascii="Calibri" w:hAnsi="Calibri"/>
          <w:sz w:val="24"/>
          <w:szCs w:val="24"/>
        </w:rPr>
        <w:t>familiarity with factors that impact on engagement, participation and active longevity;</w:t>
      </w:r>
    </w:p>
    <w:p w:rsidR="001A7792" w:rsidRPr="004E46AB" w:rsidRDefault="001A7792" w:rsidP="001A7792">
      <w:pPr>
        <w:numPr>
          <w:ilvl w:val="0"/>
          <w:numId w:val="3"/>
        </w:numPr>
        <w:autoSpaceDE w:val="0"/>
        <w:autoSpaceDN w:val="0"/>
        <w:adjustRightInd w:val="0"/>
        <w:spacing w:after="0" w:line="240" w:lineRule="auto"/>
        <w:rPr>
          <w:rFonts w:ascii="Calibri" w:hAnsi="Calibri"/>
          <w:sz w:val="24"/>
          <w:szCs w:val="24"/>
        </w:rPr>
      </w:pPr>
      <w:r w:rsidRPr="004E46AB">
        <w:rPr>
          <w:rFonts w:ascii="Calibri" w:hAnsi="Calibri"/>
          <w:sz w:val="24"/>
          <w:szCs w:val="24"/>
        </w:rPr>
        <w:t>awareness of the interrelatedness of learning and other social agendas influencing and informing the lives of older people;</w:t>
      </w:r>
    </w:p>
    <w:p w:rsidR="001A7792" w:rsidRPr="004E46AB" w:rsidRDefault="001A7792" w:rsidP="001A7792">
      <w:pPr>
        <w:numPr>
          <w:ilvl w:val="0"/>
          <w:numId w:val="3"/>
        </w:numPr>
        <w:autoSpaceDE w:val="0"/>
        <w:autoSpaceDN w:val="0"/>
        <w:adjustRightInd w:val="0"/>
        <w:spacing w:after="0" w:line="240" w:lineRule="auto"/>
        <w:rPr>
          <w:rFonts w:ascii="Calibri" w:hAnsi="Calibri"/>
          <w:sz w:val="24"/>
          <w:szCs w:val="24"/>
        </w:rPr>
      </w:pPr>
      <w:r w:rsidRPr="004E46AB">
        <w:rPr>
          <w:rFonts w:ascii="Calibri" w:hAnsi="Calibri"/>
          <w:sz w:val="24"/>
          <w:szCs w:val="24"/>
        </w:rPr>
        <w:t>acquaintance with theories of teaching and learning applicable to older adults.</w:t>
      </w:r>
    </w:p>
    <w:p w:rsidR="001A7792" w:rsidRPr="004E46AB" w:rsidRDefault="001A7792" w:rsidP="001A7792">
      <w:pPr>
        <w:autoSpaceDE w:val="0"/>
        <w:autoSpaceDN w:val="0"/>
        <w:adjustRightInd w:val="0"/>
        <w:rPr>
          <w:rFonts w:ascii="Calibri" w:hAnsi="Calibri"/>
          <w:sz w:val="24"/>
          <w:szCs w:val="24"/>
        </w:rPr>
      </w:pPr>
    </w:p>
    <w:p w:rsidR="001A7792" w:rsidRPr="004E46AB" w:rsidRDefault="001A7792" w:rsidP="001A7792">
      <w:pPr>
        <w:autoSpaceDE w:val="0"/>
        <w:autoSpaceDN w:val="0"/>
        <w:adjustRightInd w:val="0"/>
        <w:rPr>
          <w:rFonts w:ascii="Calibri" w:hAnsi="Calibri"/>
          <w:sz w:val="24"/>
          <w:szCs w:val="24"/>
        </w:rPr>
      </w:pPr>
      <w:r w:rsidRPr="004E46AB">
        <w:rPr>
          <w:rFonts w:ascii="Calibri" w:hAnsi="Calibri"/>
          <w:sz w:val="24"/>
          <w:szCs w:val="24"/>
        </w:rPr>
        <w:t>MATURE skills will embrace:</w:t>
      </w:r>
    </w:p>
    <w:p w:rsidR="001A7792" w:rsidRPr="004E46AB" w:rsidRDefault="001A7792" w:rsidP="001A7792">
      <w:pPr>
        <w:numPr>
          <w:ilvl w:val="0"/>
          <w:numId w:val="5"/>
        </w:numPr>
        <w:autoSpaceDE w:val="0"/>
        <w:autoSpaceDN w:val="0"/>
        <w:adjustRightInd w:val="0"/>
        <w:spacing w:after="0" w:line="240" w:lineRule="auto"/>
        <w:rPr>
          <w:rFonts w:ascii="Calibri" w:hAnsi="Calibri"/>
          <w:sz w:val="24"/>
          <w:szCs w:val="24"/>
        </w:rPr>
      </w:pPr>
      <w:r w:rsidRPr="004E46AB">
        <w:rPr>
          <w:rFonts w:ascii="Calibri" w:hAnsi="Calibri"/>
          <w:sz w:val="24"/>
          <w:szCs w:val="24"/>
        </w:rPr>
        <w:t>competence in the development and delivery of engagement strategies that reach out to non-participant older adults;</w:t>
      </w:r>
    </w:p>
    <w:p w:rsidR="001A7792" w:rsidRPr="004E46AB" w:rsidRDefault="001A7792" w:rsidP="001A7792">
      <w:pPr>
        <w:numPr>
          <w:ilvl w:val="0"/>
          <w:numId w:val="4"/>
        </w:numPr>
        <w:autoSpaceDE w:val="0"/>
        <w:autoSpaceDN w:val="0"/>
        <w:adjustRightInd w:val="0"/>
        <w:spacing w:after="0" w:line="240" w:lineRule="auto"/>
        <w:rPr>
          <w:rFonts w:ascii="Calibri" w:hAnsi="Calibri"/>
          <w:sz w:val="24"/>
          <w:szCs w:val="24"/>
        </w:rPr>
      </w:pPr>
      <w:r w:rsidRPr="004E46AB">
        <w:rPr>
          <w:rFonts w:ascii="Calibri" w:hAnsi="Calibri"/>
          <w:sz w:val="24"/>
          <w:szCs w:val="24"/>
        </w:rPr>
        <w:t>the ability to create programmes of learning that are responsive to the needs of ageing and older adults;</w:t>
      </w:r>
    </w:p>
    <w:p w:rsidR="001A7792" w:rsidRPr="004E46AB" w:rsidRDefault="001A7792" w:rsidP="001A7792">
      <w:pPr>
        <w:numPr>
          <w:ilvl w:val="0"/>
          <w:numId w:val="4"/>
        </w:numPr>
        <w:autoSpaceDE w:val="0"/>
        <w:autoSpaceDN w:val="0"/>
        <w:adjustRightInd w:val="0"/>
        <w:spacing w:after="0" w:line="240" w:lineRule="auto"/>
        <w:rPr>
          <w:rFonts w:ascii="Calibri" w:hAnsi="Calibri"/>
          <w:sz w:val="24"/>
          <w:szCs w:val="24"/>
        </w:rPr>
      </w:pPr>
      <w:r w:rsidRPr="004E46AB">
        <w:rPr>
          <w:rFonts w:ascii="Calibri" w:hAnsi="Calibri"/>
          <w:sz w:val="24"/>
          <w:szCs w:val="24"/>
        </w:rPr>
        <w:t>the aptitude to deliver learning that motivates, inspires and draws commitment from older people;</w:t>
      </w:r>
    </w:p>
    <w:p w:rsidR="001A7792" w:rsidRPr="004E46AB" w:rsidRDefault="001A7792" w:rsidP="001A7792">
      <w:pPr>
        <w:numPr>
          <w:ilvl w:val="0"/>
          <w:numId w:val="4"/>
        </w:numPr>
        <w:autoSpaceDE w:val="0"/>
        <w:autoSpaceDN w:val="0"/>
        <w:adjustRightInd w:val="0"/>
        <w:spacing w:after="0" w:line="240" w:lineRule="auto"/>
        <w:rPr>
          <w:rFonts w:ascii="Calibri" w:hAnsi="Calibri"/>
          <w:sz w:val="24"/>
          <w:szCs w:val="24"/>
        </w:rPr>
      </w:pPr>
      <w:r w:rsidRPr="004E46AB">
        <w:rPr>
          <w:rFonts w:ascii="Calibri" w:hAnsi="Calibri"/>
          <w:sz w:val="24"/>
          <w:szCs w:val="24"/>
        </w:rPr>
        <w:t>the talent to configure learning that is relevant and applicable to life skills;</w:t>
      </w:r>
    </w:p>
    <w:p w:rsidR="001A7792" w:rsidRPr="004E46AB" w:rsidRDefault="001A7792" w:rsidP="001A7792">
      <w:pPr>
        <w:numPr>
          <w:ilvl w:val="0"/>
          <w:numId w:val="4"/>
        </w:numPr>
        <w:autoSpaceDE w:val="0"/>
        <w:autoSpaceDN w:val="0"/>
        <w:adjustRightInd w:val="0"/>
        <w:spacing w:after="0" w:line="240" w:lineRule="auto"/>
        <w:rPr>
          <w:rFonts w:ascii="Calibri" w:hAnsi="Calibri"/>
          <w:sz w:val="24"/>
          <w:szCs w:val="24"/>
        </w:rPr>
      </w:pPr>
      <w:r w:rsidRPr="004E46AB">
        <w:rPr>
          <w:rFonts w:ascii="Calibri" w:hAnsi="Calibri"/>
          <w:sz w:val="24"/>
          <w:szCs w:val="24"/>
        </w:rPr>
        <w:t>the flexibility to accommodate the needs of older adults within existing programmes of learning and within multi-generational learning groups.</w:t>
      </w:r>
    </w:p>
    <w:p w:rsidR="001C28B7" w:rsidRDefault="001C28B7" w:rsidP="001A7792">
      <w:pPr>
        <w:autoSpaceDE w:val="0"/>
        <w:autoSpaceDN w:val="0"/>
        <w:adjustRightInd w:val="0"/>
        <w:rPr>
          <w:rFonts w:ascii="Calibri" w:hAnsi="Calibri"/>
          <w:sz w:val="24"/>
          <w:szCs w:val="24"/>
        </w:rPr>
      </w:pPr>
    </w:p>
    <w:p w:rsidR="001A7792" w:rsidRPr="004E46AB" w:rsidRDefault="001A7792" w:rsidP="001A7792">
      <w:pPr>
        <w:autoSpaceDE w:val="0"/>
        <w:autoSpaceDN w:val="0"/>
        <w:adjustRightInd w:val="0"/>
        <w:rPr>
          <w:rFonts w:ascii="Calibri" w:hAnsi="Calibri"/>
          <w:sz w:val="24"/>
          <w:szCs w:val="24"/>
        </w:rPr>
      </w:pPr>
      <w:r w:rsidRPr="004E46AB">
        <w:rPr>
          <w:rFonts w:ascii="Calibri" w:hAnsi="Calibri"/>
          <w:sz w:val="24"/>
          <w:szCs w:val="24"/>
        </w:rPr>
        <w:t>MATURE abilities and attitudes include:</w:t>
      </w:r>
    </w:p>
    <w:p w:rsidR="001A7792" w:rsidRPr="004E46AB" w:rsidRDefault="001A7792" w:rsidP="001A7792">
      <w:pPr>
        <w:numPr>
          <w:ilvl w:val="0"/>
          <w:numId w:val="6"/>
        </w:numPr>
        <w:autoSpaceDE w:val="0"/>
        <w:autoSpaceDN w:val="0"/>
        <w:adjustRightInd w:val="0"/>
        <w:spacing w:after="0" w:line="240" w:lineRule="auto"/>
        <w:rPr>
          <w:rFonts w:ascii="Calibri" w:hAnsi="Calibri"/>
          <w:sz w:val="24"/>
          <w:szCs w:val="24"/>
        </w:rPr>
      </w:pPr>
      <w:r w:rsidRPr="004E46AB">
        <w:rPr>
          <w:rFonts w:ascii="Calibri" w:hAnsi="Calibri"/>
          <w:sz w:val="24"/>
          <w:szCs w:val="24"/>
        </w:rPr>
        <w:t>empathy with older people;</w:t>
      </w:r>
    </w:p>
    <w:p w:rsidR="001A7792" w:rsidRPr="004E46AB" w:rsidRDefault="001A7792" w:rsidP="001A7792">
      <w:pPr>
        <w:numPr>
          <w:ilvl w:val="0"/>
          <w:numId w:val="6"/>
        </w:numPr>
        <w:autoSpaceDE w:val="0"/>
        <w:autoSpaceDN w:val="0"/>
        <w:adjustRightInd w:val="0"/>
        <w:spacing w:after="0" w:line="240" w:lineRule="auto"/>
        <w:rPr>
          <w:rFonts w:ascii="Calibri" w:hAnsi="Calibri"/>
          <w:sz w:val="24"/>
          <w:szCs w:val="24"/>
        </w:rPr>
      </w:pPr>
      <w:r w:rsidRPr="004E46AB">
        <w:rPr>
          <w:rFonts w:ascii="Calibri" w:hAnsi="Calibri"/>
          <w:sz w:val="24"/>
          <w:szCs w:val="24"/>
        </w:rPr>
        <w:t>powers of engagement with a wide variety of individuals and organisations in the pursuit of relevant learning for older people;</w:t>
      </w:r>
    </w:p>
    <w:p w:rsidR="001A7792" w:rsidRPr="004E46AB" w:rsidRDefault="001A7792" w:rsidP="001A7792">
      <w:pPr>
        <w:numPr>
          <w:ilvl w:val="0"/>
          <w:numId w:val="6"/>
        </w:numPr>
        <w:autoSpaceDE w:val="0"/>
        <w:autoSpaceDN w:val="0"/>
        <w:adjustRightInd w:val="0"/>
        <w:spacing w:after="0" w:line="240" w:lineRule="auto"/>
        <w:rPr>
          <w:rFonts w:ascii="Calibri" w:hAnsi="Calibri"/>
          <w:sz w:val="24"/>
          <w:szCs w:val="24"/>
        </w:rPr>
      </w:pPr>
      <w:r w:rsidRPr="004E46AB">
        <w:rPr>
          <w:rFonts w:ascii="Calibri" w:hAnsi="Calibri"/>
          <w:sz w:val="24"/>
          <w:szCs w:val="24"/>
        </w:rPr>
        <w:t xml:space="preserve">open-mindedness to new ideas; to challenging concepts and situations; </w:t>
      </w:r>
    </w:p>
    <w:p w:rsidR="001A7792" w:rsidRPr="004E46AB" w:rsidRDefault="001A7792" w:rsidP="001A7792">
      <w:pPr>
        <w:numPr>
          <w:ilvl w:val="0"/>
          <w:numId w:val="6"/>
        </w:numPr>
        <w:autoSpaceDE w:val="0"/>
        <w:autoSpaceDN w:val="0"/>
        <w:adjustRightInd w:val="0"/>
        <w:spacing w:after="0" w:line="240" w:lineRule="auto"/>
        <w:rPr>
          <w:rFonts w:ascii="Calibri" w:hAnsi="Calibri"/>
          <w:sz w:val="24"/>
          <w:szCs w:val="24"/>
        </w:rPr>
      </w:pPr>
      <w:r w:rsidRPr="004E46AB">
        <w:rPr>
          <w:rFonts w:ascii="Calibri" w:hAnsi="Calibri"/>
          <w:sz w:val="24"/>
          <w:szCs w:val="24"/>
        </w:rPr>
        <w:t>willingness to embrace innovation; think ‘out-of-the box’; challenge pre-conceptions;</w:t>
      </w:r>
    </w:p>
    <w:p w:rsidR="001A7792" w:rsidRPr="004E46AB" w:rsidRDefault="001A7792" w:rsidP="001A7792">
      <w:pPr>
        <w:numPr>
          <w:ilvl w:val="0"/>
          <w:numId w:val="6"/>
        </w:numPr>
        <w:autoSpaceDE w:val="0"/>
        <w:autoSpaceDN w:val="0"/>
        <w:adjustRightInd w:val="0"/>
        <w:spacing w:after="0" w:line="240" w:lineRule="auto"/>
        <w:rPr>
          <w:rFonts w:ascii="Calibri" w:hAnsi="Calibri"/>
          <w:sz w:val="24"/>
          <w:szCs w:val="24"/>
        </w:rPr>
      </w:pPr>
      <w:r w:rsidRPr="004E46AB">
        <w:rPr>
          <w:rFonts w:ascii="Calibri" w:hAnsi="Calibri"/>
          <w:sz w:val="24"/>
          <w:szCs w:val="24"/>
        </w:rPr>
        <w:t xml:space="preserve">commitment to encourage progression from learning. </w:t>
      </w:r>
    </w:p>
    <w:p w:rsidR="001A7792" w:rsidRPr="009854F0" w:rsidRDefault="001A7792" w:rsidP="001A7792">
      <w:pPr>
        <w:autoSpaceDE w:val="0"/>
        <w:autoSpaceDN w:val="0"/>
        <w:adjustRightInd w:val="0"/>
        <w:spacing w:after="0" w:line="240" w:lineRule="auto"/>
        <w:rPr>
          <w:rFonts w:ascii="Calibri" w:hAnsi="Calibri"/>
        </w:rPr>
      </w:pPr>
    </w:p>
    <w:p w:rsidR="00677881" w:rsidRPr="00CA2E0F" w:rsidRDefault="007D44B8" w:rsidP="00CA2E0F">
      <w:pPr>
        <w:rPr>
          <w:b/>
          <w:sz w:val="28"/>
          <w:szCs w:val="28"/>
        </w:rPr>
      </w:pPr>
      <w:r w:rsidRPr="00CA2E0F">
        <w:rPr>
          <w:b/>
          <w:sz w:val="28"/>
          <w:szCs w:val="28"/>
        </w:rPr>
        <w:t>How is the self-study</w:t>
      </w:r>
      <w:r w:rsidR="00677881" w:rsidRPr="00CA2E0F">
        <w:rPr>
          <w:b/>
          <w:sz w:val="28"/>
          <w:szCs w:val="28"/>
        </w:rPr>
        <w:t xml:space="preserve"> training programme organised?</w:t>
      </w:r>
    </w:p>
    <w:p w:rsidR="00677881" w:rsidRDefault="008A5D71" w:rsidP="00677881">
      <w:pPr>
        <w:rPr>
          <w:sz w:val="24"/>
          <w:szCs w:val="24"/>
        </w:rPr>
      </w:pPr>
      <w:r>
        <w:rPr>
          <w:sz w:val="24"/>
          <w:szCs w:val="24"/>
        </w:rPr>
        <w:t>There are 8 units in MATURE’s self-study training programme.</w:t>
      </w:r>
    </w:p>
    <w:tbl>
      <w:tblPr>
        <w:tblStyle w:val="TableGrid"/>
        <w:tblW w:w="0" w:type="auto"/>
        <w:jc w:val="center"/>
        <w:tblLook w:val="04A0" w:firstRow="1" w:lastRow="0" w:firstColumn="1" w:lastColumn="0" w:noHBand="0" w:noVBand="1"/>
      </w:tblPr>
      <w:tblGrid>
        <w:gridCol w:w="4077"/>
      </w:tblGrid>
      <w:tr w:rsidR="00677881" w:rsidRPr="008A5D71" w:rsidTr="008A5D71">
        <w:trPr>
          <w:jc w:val="center"/>
        </w:trPr>
        <w:tc>
          <w:tcPr>
            <w:tcW w:w="4077" w:type="dxa"/>
            <w:shd w:val="clear" w:color="auto" w:fill="FF6699"/>
          </w:tcPr>
          <w:p w:rsidR="00677881" w:rsidRPr="008A5D71" w:rsidRDefault="008A5D71" w:rsidP="00677881">
            <w:pPr>
              <w:jc w:val="center"/>
              <w:rPr>
                <w:rFonts w:asciiTheme="minorHAnsi" w:hAnsiTheme="minorHAnsi"/>
                <w:b/>
                <w:sz w:val="24"/>
                <w:szCs w:val="24"/>
              </w:rPr>
            </w:pPr>
            <w:r w:rsidRPr="008A5D71">
              <w:rPr>
                <w:rFonts w:asciiTheme="minorHAnsi" w:hAnsiTheme="minorHAnsi"/>
                <w:b/>
                <w:sz w:val="24"/>
                <w:szCs w:val="24"/>
              </w:rPr>
              <w:t xml:space="preserve">MATURE </w:t>
            </w:r>
            <w:r>
              <w:rPr>
                <w:rFonts w:asciiTheme="minorHAnsi" w:hAnsiTheme="minorHAnsi"/>
                <w:b/>
                <w:sz w:val="24"/>
                <w:szCs w:val="24"/>
              </w:rPr>
              <w:t>S</w:t>
            </w:r>
            <w:r w:rsidRPr="008A5D71">
              <w:rPr>
                <w:rFonts w:asciiTheme="minorHAnsi" w:hAnsiTheme="minorHAnsi"/>
                <w:b/>
                <w:sz w:val="24"/>
                <w:szCs w:val="24"/>
              </w:rPr>
              <w:t xml:space="preserve">elf-study training programme </w:t>
            </w:r>
          </w:p>
        </w:tc>
      </w:tr>
      <w:tr w:rsidR="00677881" w:rsidRPr="008A5D71" w:rsidTr="008A5D71">
        <w:trPr>
          <w:jc w:val="center"/>
        </w:trPr>
        <w:tc>
          <w:tcPr>
            <w:tcW w:w="4077" w:type="dxa"/>
          </w:tcPr>
          <w:p w:rsidR="00677881" w:rsidRPr="008A5D71" w:rsidRDefault="00A01973" w:rsidP="00677881">
            <w:pPr>
              <w:pStyle w:val="ListParagraph"/>
              <w:numPr>
                <w:ilvl w:val="0"/>
                <w:numId w:val="12"/>
              </w:numPr>
              <w:rPr>
                <w:rFonts w:asciiTheme="minorHAnsi" w:hAnsiTheme="minorHAnsi"/>
                <w:sz w:val="24"/>
                <w:szCs w:val="24"/>
              </w:rPr>
            </w:pPr>
            <w:r w:rsidRPr="008A5D71">
              <w:rPr>
                <w:rFonts w:asciiTheme="minorHAnsi" w:hAnsiTheme="minorHAnsi"/>
                <w:sz w:val="24"/>
                <w:szCs w:val="24"/>
              </w:rPr>
              <w:t>Getting started</w:t>
            </w:r>
          </w:p>
        </w:tc>
      </w:tr>
      <w:tr w:rsidR="00677881" w:rsidRPr="008A5D71" w:rsidTr="008A5D71">
        <w:trPr>
          <w:jc w:val="center"/>
        </w:trPr>
        <w:tc>
          <w:tcPr>
            <w:tcW w:w="4077" w:type="dxa"/>
          </w:tcPr>
          <w:p w:rsidR="00677881" w:rsidRPr="008A5D71" w:rsidRDefault="00A01973" w:rsidP="00677881">
            <w:pPr>
              <w:pStyle w:val="ListParagraph"/>
              <w:numPr>
                <w:ilvl w:val="0"/>
                <w:numId w:val="12"/>
              </w:numPr>
              <w:rPr>
                <w:rFonts w:asciiTheme="minorHAnsi" w:hAnsiTheme="minorHAnsi"/>
                <w:sz w:val="24"/>
                <w:szCs w:val="24"/>
              </w:rPr>
            </w:pPr>
            <w:r w:rsidRPr="008A5D71">
              <w:rPr>
                <w:rFonts w:asciiTheme="minorHAnsi" w:hAnsiTheme="minorHAnsi"/>
                <w:sz w:val="24"/>
                <w:szCs w:val="24"/>
              </w:rPr>
              <w:t>Participation and non-participation</w:t>
            </w:r>
          </w:p>
        </w:tc>
      </w:tr>
      <w:tr w:rsidR="00A01973" w:rsidRPr="008A5D71" w:rsidTr="008A5D71">
        <w:trPr>
          <w:jc w:val="center"/>
        </w:trPr>
        <w:tc>
          <w:tcPr>
            <w:tcW w:w="4077" w:type="dxa"/>
          </w:tcPr>
          <w:p w:rsidR="00A01973" w:rsidRPr="008A5D71" w:rsidRDefault="00A01973" w:rsidP="00677881">
            <w:pPr>
              <w:pStyle w:val="ListParagraph"/>
              <w:numPr>
                <w:ilvl w:val="0"/>
                <w:numId w:val="12"/>
              </w:numPr>
              <w:rPr>
                <w:rFonts w:asciiTheme="minorHAnsi" w:hAnsiTheme="minorHAnsi"/>
                <w:sz w:val="24"/>
                <w:szCs w:val="24"/>
              </w:rPr>
            </w:pPr>
            <w:r w:rsidRPr="008A5D71">
              <w:rPr>
                <w:rFonts w:asciiTheme="minorHAnsi" w:hAnsiTheme="minorHAnsi"/>
                <w:sz w:val="24"/>
                <w:szCs w:val="24"/>
              </w:rPr>
              <w:t>Disadvantage</w:t>
            </w:r>
          </w:p>
        </w:tc>
      </w:tr>
      <w:tr w:rsidR="00A01973" w:rsidRPr="008A5D71" w:rsidTr="008A5D71">
        <w:trPr>
          <w:jc w:val="center"/>
        </w:trPr>
        <w:tc>
          <w:tcPr>
            <w:tcW w:w="4077" w:type="dxa"/>
          </w:tcPr>
          <w:p w:rsidR="00A01973" w:rsidRPr="008A5D71" w:rsidRDefault="00A01973" w:rsidP="00677881">
            <w:pPr>
              <w:pStyle w:val="ListParagraph"/>
              <w:numPr>
                <w:ilvl w:val="0"/>
                <w:numId w:val="12"/>
              </w:numPr>
              <w:rPr>
                <w:rFonts w:asciiTheme="minorHAnsi" w:hAnsiTheme="minorHAnsi"/>
                <w:sz w:val="24"/>
                <w:szCs w:val="24"/>
              </w:rPr>
            </w:pPr>
            <w:r w:rsidRPr="008A5D71">
              <w:rPr>
                <w:rFonts w:asciiTheme="minorHAnsi" w:hAnsiTheme="minorHAnsi"/>
                <w:sz w:val="24"/>
                <w:szCs w:val="24"/>
              </w:rPr>
              <w:t>Getting to know learners</w:t>
            </w:r>
          </w:p>
        </w:tc>
      </w:tr>
      <w:tr w:rsidR="00677881" w:rsidRPr="008A5D71" w:rsidTr="008A5D71">
        <w:trPr>
          <w:jc w:val="center"/>
        </w:trPr>
        <w:tc>
          <w:tcPr>
            <w:tcW w:w="4077" w:type="dxa"/>
          </w:tcPr>
          <w:p w:rsidR="00677881" w:rsidRPr="008A5D71" w:rsidRDefault="00677881" w:rsidP="00677881">
            <w:pPr>
              <w:pStyle w:val="ListParagraph"/>
              <w:numPr>
                <w:ilvl w:val="0"/>
                <w:numId w:val="12"/>
              </w:numPr>
              <w:rPr>
                <w:rFonts w:asciiTheme="minorHAnsi" w:hAnsiTheme="minorHAnsi"/>
                <w:sz w:val="24"/>
                <w:szCs w:val="24"/>
              </w:rPr>
            </w:pPr>
            <w:r w:rsidRPr="008A5D71">
              <w:rPr>
                <w:rFonts w:asciiTheme="minorHAnsi" w:hAnsiTheme="minorHAnsi"/>
                <w:sz w:val="24"/>
                <w:szCs w:val="24"/>
              </w:rPr>
              <w:t>Planning</w:t>
            </w:r>
            <w:r w:rsidRPr="008A5D71">
              <w:rPr>
                <w:rFonts w:asciiTheme="minorHAnsi" w:hAnsiTheme="minorHAnsi"/>
                <w:b/>
                <w:i/>
                <w:sz w:val="24"/>
                <w:szCs w:val="24"/>
              </w:rPr>
              <w:t xml:space="preserve"> relevant</w:t>
            </w:r>
            <w:r w:rsidRPr="008A5D71">
              <w:rPr>
                <w:rFonts w:asciiTheme="minorHAnsi" w:hAnsiTheme="minorHAnsi"/>
                <w:sz w:val="24"/>
                <w:szCs w:val="24"/>
              </w:rPr>
              <w:t xml:space="preserve"> learning</w:t>
            </w:r>
          </w:p>
        </w:tc>
      </w:tr>
      <w:tr w:rsidR="00677881" w:rsidRPr="008A5D71" w:rsidTr="008A5D71">
        <w:trPr>
          <w:jc w:val="center"/>
        </w:trPr>
        <w:tc>
          <w:tcPr>
            <w:tcW w:w="4077" w:type="dxa"/>
          </w:tcPr>
          <w:p w:rsidR="00677881" w:rsidRPr="008A5D71" w:rsidRDefault="00677881" w:rsidP="00677881">
            <w:pPr>
              <w:pStyle w:val="ListParagraph"/>
              <w:numPr>
                <w:ilvl w:val="0"/>
                <w:numId w:val="12"/>
              </w:numPr>
              <w:rPr>
                <w:rFonts w:asciiTheme="minorHAnsi" w:hAnsiTheme="minorHAnsi"/>
                <w:sz w:val="24"/>
                <w:szCs w:val="24"/>
              </w:rPr>
            </w:pPr>
            <w:r w:rsidRPr="008A5D71">
              <w:rPr>
                <w:rFonts w:asciiTheme="minorHAnsi" w:hAnsiTheme="minorHAnsi"/>
                <w:sz w:val="24"/>
                <w:szCs w:val="24"/>
              </w:rPr>
              <w:t xml:space="preserve">Delivering </w:t>
            </w:r>
            <w:r w:rsidRPr="008A5D71">
              <w:rPr>
                <w:rFonts w:asciiTheme="minorHAnsi" w:hAnsiTheme="minorHAnsi"/>
                <w:b/>
                <w:i/>
                <w:sz w:val="24"/>
                <w:szCs w:val="24"/>
              </w:rPr>
              <w:t>engaging</w:t>
            </w:r>
            <w:r w:rsidRPr="008A5D71">
              <w:rPr>
                <w:rFonts w:asciiTheme="minorHAnsi" w:hAnsiTheme="minorHAnsi"/>
                <w:sz w:val="24"/>
                <w:szCs w:val="24"/>
              </w:rPr>
              <w:t xml:space="preserve"> learning</w:t>
            </w:r>
          </w:p>
        </w:tc>
      </w:tr>
      <w:tr w:rsidR="00677881" w:rsidRPr="008A5D71" w:rsidTr="008A5D71">
        <w:trPr>
          <w:jc w:val="center"/>
        </w:trPr>
        <w:tc>
          <w:tcPr>
            <w:tcW w:w="4077" w:type="dxa"/>
          </w:tcPr>
          <w:p w:rsidR="00677881" w:rsidRPr="008A5D71" w:rsidRDefault="00677881" w:rsidP="00677881">
            <w:pPr>
              <w:pStyle w:val="ListParagraph"/>
              <w:numPr>
                <w:ilvl w:val="0"/>
                <w:numId w:val="12"/>
              </w:numPr>
              <w:rPr>
                <w:rFonts w:asciiTheme="minorHAnsi" w:hAnsiTheme="minorHAnsi"/>
                <w:sz w:val="24"/>
                <w:szCs w:val="24"/>
              </w:rPr>
            </w:pPr>
            <w:r w:rsidRPr="008A5D71">
              <w:rPr>
                <w:rFonts w:asciiTheme="minorHAnsi" w:hAnsiTheme="minorHAnsi"/>
                <w:sz w:val="24"/>
                <w:szCs w:val="24"/>
              </w:rPr>
              <w:t xml:space="preserve">Making learning </w:t>
            </w:r>
            <w:r w:rsidRPr="008A5D71">
              <w:rPr>
                <w:rFonts w:asciiTheme="minorHAnsi" w:hAnsiTheme="minorHAnsi"/>
                <w:b/>
                <w:i/>
                <w:sz w:val="24"/>
                <w:szCs w:val="24"/>
              </w:rPr>
              <w:t>useful</w:t>
            </w:r>
            <w:r w:rsidR="00A01973" w:rsidRPr="008A5D71">
              <w:rPr>
                <w:rFonts w:asciiTheme="minorHAnsi" w:hAnsiTheme="minorHAnsi"/>
                <w:sz w:val="24"/>
                <w:szCs w:val="24"/>
              </w:rPr>
              <w:t xml:space="preserve"> – maintaining motivation</w:t>
            </w:r>
          </w:p>
        </w:tc>
      </w:tr>
      <w:tr w:rsidR="00A01973" w:rsidRPr="008A5D71" w:rsidTr="008A5D71">
        <w:trPr>
          <w:jc w:val="center"/>
        </w:trPr>
        <w:tc>
          <w:tcPr>
            <w:tcW w:w="4077" w:type="dxa"/>
          </w:tcPr>
          <w:p w:rsidR="00A01973" w:rsidRPr="008A5D71" w:rsidRDefault="00A01973" w:rsidP="00677881">
            <w:pPr>
              <w:pStyle w:val="ListParagraph"/>
              <w:numPr>
                <w:ilvl w:val="0"/>
                <w:numId w:val="12"/>
              </w:numPr>
              <w:rPr>
                <w:rFonts w:asciiTheme="minorHAnsi" w:hAnsiTheme="minorHAnsi"/>
                <w:sz w:val="24"/>
                <w:szCs w:val="24"/>
              </w:rPr>
            </w:pPr>
            <w:r w:rsidRPr="008A5D71">
              <w:rPr>
                <w:rFonts w:asciiTheme="minorHAnsi" w:hAnsiTheme="minorHAnsi"/>
                <w:sz w:val="24"/>
                <w:szCs w:val="24"/>
              </w:rPr>
              <w:t xml:space="preserve">Making learning </w:t>
            </w:r>
            <w:r w:rsidRPr="008A5D71">
              <w:rPr>
                <w:rFonts w:asciiTheme="minorHAnsi" w:hAnsiTheme="minorHAnsi"/>
                <w:b/>
                <w:i/>
                <w:sz w:val="24"/>
                <w:szCs w:val="24"/>
              </w:rPr>
              <w:t>useful</w:t>
            </w:r>
            <w:r w:rsidRPr="008A5D71">
              <w:rPr>
                <w:rFonts w:asciiTheme="minorHAnsi" w:hAnsiTheme="minorHAnsi"/>
                <w:sz w:val="24"/>
                <w:szCs w:val="24"/>
              </w:rPr>
              <w:t xml:space="preserve"> – evaluation</w:t>
            </w:r>
          </w:p>
        </w:tc>
      </w:tr>
    </w:tbl>
    <w:p w:rsidR="00AB51F1" w:rsidRDefault="00AB51F1" w:rsidP="00677881">
      <w:pPr>
        <w:rPr>
          <w:sz w:val="24"/>
          <w:szCs w:val="24"/>
        </w:rPr>
      </w:pPr>
    </w:p>
    <w:p w:rsidR="00677881" w:rsidRPr="00677881" w:rsidRDefault="00BB4203" w:rsidP="00677881">
      <w:pPr>
        <w:rPr>
          <w:sz w:val="24"/>
          <w:szCs w:val="24"/>
        </w:rPr>
      </w:pPr>
      <w:r>
        <w:rPr>
          <w:sz w:val="24"/>
          <w:szCs w:val="24"/>
        </w:rPr>
        <w:t xml:space="preserve">Each of the </w:t>
      </w:r>
      <w:r w:rsidR="008A5D71">
        <w:rPr>
          <w:sz w:val="24"/>
          <w:szCs w:val="24"/>
        </w:rPr>
        <w:t>units</w:t>
      </w:r>
      <w:r>
        <w:rPr>
          <w:sz w:val="24"/>
          <w:szCs w:val="24"/>
        </w:rPr>
        <w:t xml:space="preserve"> contains theory</w:t>
      </w:r>
      <w:r w:rsidR="007D44B8">
        <w:rPr>
          <w:sz w:val="24"/>
          <w:szCs w:val="24"/>
        </w:rPr>
        <w:t xml:space="preserve"> and tasks</w:t>
      </w:r>
      <w:r>
        <w:rPr>
          <w:sz w:val="24"/>
          <w:szCs w:val="24"/>
        </w:rPr>
        <w:t xml:space="preserve"> to develop</w:t>
      </w:r>
      <w:r w:rsidR="00AB51F1">
        <w:rPr>
          <w:sz w:val="24"/>
          <w:szCs w:val="24"/>
        </w:rPr>
        <w:t xml:space="preserve"> understanding with</w:t>
      </w:r>
      <w:r>
        <w:rPr>
          <w:sz w:val="24"/>
          <w:szCs w:val="24"/>
        </w:rPr>
        <w:t xml:space="preserve"> opportunities for personal reflection on what has been learned. References for further information and study are included.</w:t>
      </w:r>
    </w:p>
    <w:p w:rsidR="00586CDB" w:rsidRDefault="001A7792" w:rsidP="001A7792">
      <w:pPr>
        <w:rPr>
          <w:b/>
          <w:sz w:val="28"/>
          <w:szCs w:val="28"/>
        </w:rPr>
      </w:pPr>
      <w:r w:rsidRPr="008A5D71">
        <w:rPr>
          <w:b/>
          <w:sz w:val="28"/>
          <w:szCs w:val="28"/>
        </w:rPr>
        <w:lastRenderedPageBreak/>
        <w:t xml:space="preserve">How to use the MATURE </w:t>
      </w:r>
      <w:r w:rsidR="008A5D71">
        <w:rPr>
          <w:b/>
          <w:sz w:val="28"/>
          <w:szCs w:val="28"/>
        </w:rPr>
        <w:t xml:space="preserve">self-study </w:t>
      </w:r>
      <w:r w:rsidRPr="008A5D71">
        <w:rPr>
          <w:b/>
          <w:sz w:val="28"/>
          <w:szCs w:val="28"/>
        </w:rPr>
        <w:t>training programme</w:t>
      </w:r>
    </w:p>
    <w:p w:rsidR="001A7792" w:rsidRPr="00586CDB" w:rsidRDefault="00586CDB" w:rsidP="001A7792">
      <w:pPr>
        <w:rPr>
          <w:b/>
          <w:sz w:val="28"/>
          <w:szCs w:val="28"/>
        </w:rPr>
      </w:pPr>
      <w:r w:rsidRPr="00586CDB">
        <w:rPr>
          <w:sz w:val="28"/>
          <w:szCs w:val="28"/>
        </w:rPr>
        <w:t>S</w:t>
      </w:r>
      <w:r w:rsidR="007D44B8">
        <w:rPr>
          <w:sz w:val="24"/>
          <w:szCs w:val="24"/>
        </w:rPr>
        <w:t xml:space="preserve">elf-study </w:t>
      </w:r>
      <w:r w:rsidR="001A7792" w:rsidRPr="00632D40">
        <w:rPr>
          <w:sz w:val="24"/>
          <w:szCs w:val="24"/>
        </w:rPr>
        <w:t>content has been develope</w:t>
      </w:r>
      <w:r w:rsidR="00AB51F1">
        <w:rPr>
          <w:sz w:val="24"/>
          <w:szCs w:val="24"/>
        </w:rPr>
        <w:t xml:space="preserve">d to provide training </w:t>
      </w:r>
      <w:r w:rsidR="001A7792" w:rsidRPr="00632D40">
        <w:rPr>
          <w:sz w:val="24"/>
          <w:szCs w:val="24"/>
        </w:rPr>
        <w:t xml:space="preserve">suitable for a pan-European </w:t>
      </w:r>
      <w:r w:rsidR="00AB51F1">
        <w:rPr>
          <w:sz w:val="24"/>
          <w:szCs w:val="24"/>
        </w:rPr>
        <w:t xml:space="preserve">audience. </w:t>
      </w:r>
      <w:r w:rsidR="006C3BF0">
        <w:rPr>
          <w:sz w:val="24"/>
          <w:szCs w:val="24"/>
        </w:rPr>
        <w:t>I</w:t>
      </w:r>
      <w:r>
        <w:rPr>
          <w:sz w:val="24"/>
          <w:szCs w:val="24"/>
        </w:rPr>
        <w:t xml:space="preserve">ts application to particular national and local circumstance is </w:t>
      </w:r>
      <w:r w:rsidR="001A7792" w:rsidRPr="00632D40">
        <w:rPr>
          <w:sz w:val="24"/>
          <w:szCs w:val="24"/>
        </w:rPr>
        <w:t xml:space="preserve">the responsibility of the </w:t>
      </w:r>
      <w:r>
        <w:rPr>
          <w:sz w:val="24"/>
          <w:szCs w:val="24"/>
        </w:rPr>
        <w:t xml:space="preserve">participant. The MATURE team has first-hand experience of the impact of diverse cultures, backgrounds, expectations and motivations on the training it has developed. </w:t>
      </w:r>
      <w:r w:rsidR="006C3BF0">
        <w:rPr>
          <w:sz w:val="24"/>
          <w:szCs w:val="24"/>
        </w:rPr>
        <w:t>It</w:t>
      </w:r>
      <w:r>
        <w:rPr>
          <w:sz w:val="24"/>
          <w:szCs w:val="24"/>
        </w:rPr>
        <w:t xml:space="preserve"> does not seek to impose a single European response</w:t>
      </w:r>
      <w:r w:rsidR="006C3BF0">
        <w:rPr>
          <w:sz w:val="24"/>
          <w:szCs w:val="24"/>
        </w:rPr>
        <w:t>; training</w:t>
      </w:r>
      <w:r>
        <w:rPr>
          <w:sz w:val="24"/>
          <w:szCs w:val="24"/>
        </w:rPr>
        <w:t xml:space="preserve"> is f</w:t>
      </w:r>
      <w:r w:rsidR="006C3BF0">
        <w:rPr>
          <w:sz w:val="24"/>
          <w:szCs w:val="24"/>
        </w:rPr>
        <w:t xml:space="preserve">ramed to stimulate reflection about the ways in which core ideas and principles might play out in differing situations. </w:t>
      </w:r>
    </w:p>
    <w:p w:rsidR="001A7792" w:rsidRPr="001D202E" w:rsidRDefault="006C3BF0" w:rsidP="001A7792">
      <w:pPr>
        <w:spacing w:before="100" w:beforeAutospacing="1" w:after="225" w:line="240" w:lineRule="auto"/>
        <w:rPr>
          <w:rFonts w:eastAsia="Times New Roman" w:cs="Times New Roman"/>
          <w:sz w:val="24"/>
          <w:szCs w:val="24"/>
          <w:lang w:val="en-US" w:eastAsia="en-GB"/>
        </w:rPr>
      </w:pPr>
      <w:r>
        <w:rPr>
          <w:rFonts w:eastAsia="Times New Roman" w:cs="Times New Roman"/>
          <w:sz w:val="24"/>
          <w:szCs w:val="24"/>
          <w:lang w:val="en-US" w:eastAsia="en-GB"/>
        </w:rPr>
        <w:t>U</w:t>
      </w:r>
      <w:r w:rsidR="001A7792" w:rsidRPr="001D202E">
        <w:rPr>
          <w:rFonts w:eastAsia="Times New Roman" w:cs="Times New Roman"/>
          <w:sz w:val="24"/>
          <w:szCs w:val="24"/>
          <w:lang w:val="en-US" w:eastAsia="en-GB"/>
        </w:rPr>
        <w:t xml:space="preserve">nits </w:t>
      </w:r>
      <w:r w:rsidR="001A7792" w:rsidRPr="00632D40">
        <w:rPr>
          <w:rFonts w:eastAsia="Times New Roman" w:cs="Times New Roman"/>
          <w:sz w:val="24"/>
          <w:szCs w:val="24"/>
          <w:lang w:val="en-US" w:eastAsia="en-GB"/>
        </w:rPr>
        <w:t xml:space="preserve">for self-study </w:t>
      </w:r>
      <w:r w:rsidR="001A7792" w:rsidRPr="001D202E">
        <w:rPr>
          <w:rFonts w:eastAsia="Times New Roman" w:cs="Times New Roman"/>
          <w:sz w:val="24"/>
          <w:szCs w:val="24"/>
          <w:lang w:val="en-US" w:eastAsia="en-GB"/>
        </w:rPr>
        <w:t>may be used in any of the following ways:</w:t>
      </w:r>
    </w:p>
    <w:p w:rsidR="001A7792" w:rsidRPr="001D202E" w:rsidRDefault="001A7792" w:rsidP="001A7792">
      <w:pPr>
        <w:numPr>
          <w:ilvl w:val="0"/>
          <w:numId w:val="8"/>
        </w:numPr>
        <w:spacing w:before="100" w:beforeAutospacing="1" w:after="100" w:afterAutospacing="1" w:line="240" w:lineRule="auto"/>
        <w:ind w:left="300"/>
        <w:rPr>
          <w:rFonts w:eastAsia="Times New Roman" w:cs="Times New Roman"/>
          <w:sz w:val="24"/>
          <w:szCs w:val="24"/>
          <w:lang w:val="en-US" w:eastAsia="en-GB"/>
        </w:rPr>
      </w:pPr>
      <w:r w:rsidRPr="001D202E">
        <w:rPr>
          <w:rFonts w:eastAsia="Times New Roman" w:cs="Times New Roman"/>
          <w:sz w:val="24"/>
          <w:szCs w:val="24"/>
          <w:lang w:val="en-US" w:eastAsia="en-GB"/>
        </w:rPr>
        <w:t>As consolidation for group continuing professional development.</w:t>
      </w:r>
    </w:p>
    <w:p w:rsidR="001A7792" w:rsidRPr="001D202E" w:rsidRDefault="001A7792" w:rsidP="001A7792">
      <w:pPr>
        <w:numPr>
          <w:ilvl w:val="0"/>
          <w:numId w:val="8"/>
        </w:numPr>
        <w:spacing w:before="100" w:beforeAutospacing="1" w:after="100" w:afterAutospacing="1" w:line="240" w:lineRule="auto"/>
        <w:ind w:left="300"/>
        <w:rPr>
          <w:rFonts w:eastAsia="Times New Roman" w:cs="Times New Roman"/>
          <w:sz w:val="24"/>
          <w:szCs w:val="24"/>
          <w:lang w:val="en-US" w:eastAsia="en-GB"/>
        </w:rPr>
      </w:pPr>
      <w:r w:rsidRPr="001D202E">
        <w:rPr>
          <w:rFonts w:eastAsia="Times New Roman" w:cs="Times New Roman"/>
          <w:sz w:val="24"/>
          <w:szCs w:val="24"/>
          <w:lang w:val="en-US" w:eastAsia="en-GB"/>
        </w:rPr>
        <w:t>As independent professional updating.</w:t>
      </w:r>
    </w:p>
    <w:p w:rsidR="00AE7452" w:rsidRPr="00996935" w:rsidRDefault="001A7792" w:rsidP="00AE7452">
      <w:pPr>
        <w:numPr>
          <w:ilvl w:val="0"/>
          <w:numId w:val="8"/>
        </w:numPr>
        <w:spacing w:before="100" w:beforeAutospacing="1" w:after="100" w:afterAutospacing="1" w:line="240" w:lineRule="auto"/>
        <w:ind w:left="300"/>
        <w:rPr>
          <w:rFonts w:eastAsia="Times New Roman" w:cs="Times New Roman"/>
          <w:sz w:val="24"/>
          <w:szCs w:val="24"/>
          <w:lang w:val="en-US" w:eastAsia="en-GB"/>
        </w:rPr>
      </w:pPr>
      <w:r w:rsidRPr="001D202E">
        <w:rPr>
          <w:rFonts w:eastAsia="Times New Roman" w:cs="Times New Roman"/>
          <w:sz w:val="24"/>
          <w:szCs w:val="24"/>
          <w:lang w:val="en-US" w:eastAsia="en-GB"/>
        </w:rPr>
        <w:t xml:space="preserve">As part of a programme of directed </w:t>
      </w:r>
      <w:r w:rsidR="006C3BF0">
        <w:rPr>
          <w:rFonts w:eastAsia="Times New Roman" w:cs="Times New Roman"/>
          <w:sz w:val="24"/>
          <w:szCs w:val="24"/>
          <w:lang w:val="en-US" w:eastAsia="en-GB"/>
        </w:rPr>
        <w:t>self-</w:t>
      </w:r>
      <w:r w:rsidR="006C3BF0" w:rsidRPr="00632D40">
        <w:rPr>
          <w:rFonts w:eastAsia="Times New Roman" w:cs="Times New Roman"/>
          <w:sz w:val="24"/>
          <w:szCs w:val="24"/>
          <w:lang w:val="en-US" w:eastAsia="en-GB"/>
        </w:rPr>
        <w:t>study</w:t>
      </w:r>
      <w:r w:rsidRPr="001D202E">
        <w:rPr>
          <w:rFonts w:eastAsia="Times New Roman" w:cs="Times New Roman"/>
          <w:sz w:val="24"/>
          <w:szCs w:val="24"/>
          <w:lang w:val="en-US" w:eastAsia="en-GB"/>
        </w:rPr>
        <w:t>.</w:t>
      </w:r>
    </w:p>
    <w:p w:rsidR="001A7792" w:rsidRPr="006C3BF0" w:rsidRDefault="001A7792" w:rsidP="006C3BF0">
      <w:pPr>
        <w:spacing w:before="100" w:beforeAutospacing="1" w:after="100" w:afterAutospacing="1" w:line="240" w:lineRule="auto"/>
        <w:rPr>
          <w:rFonts w:eastAsia="Times New Roman" w:cs="Times New Roman"/>
          <w:b/>
          <w:sz w:val="28"/>
          <w:szCs w:val="28"/>
          <w:lang w:val="en-US" w:eastAsia="en-GB"/>
        </w:rPr>
      </w:pPr>
      <w:r w:rsidRPr="006C3BF0">
        <w:rPr>
          <w:rFonts w:eastAsia="Times New Roman" w:cs="Times New Roman"/>
          <w:b/>
          <w:sz w:val="28"/>
          <w:szCs w:val="28"/>
          <w:lang w:val="en-US" w:eastAsia="en-GB"/>
        </w:rPr>
        <w:t>Supporting material</w:t>
      </w:r>
    </w:p>
    <w:p w:rsidR="001A7792" w:rsidRPr="00632D40" w:rsidRDefault="001A7792" w:rsidP="001A7792">
      <w:pPr>
        <w:spacing w:before="100" w:beforeAutospacing="1" w:after="100" w:afterAutospacing="1" w:line="240" w:lineRule="auto"/>
        <w:rPr>
          <w:rFonts w:eastAsia="Times New Roman" w:cs="Times New Roman"/>
          <w:sz w:val="24"/>
          <w:szCs w:val="24"/>
          <w:lang w:val="en-US" w:eastAsia="en-GB"/>
        </w:rPr>
      </w:pPr>
      <w:r w:rsidRPr="00632D40">
        <w:rPr>
          <w:rFonts w:eastAsia="Times New Roman" w:cs="Times New Roman"/>
          <w:sz w:val="24"/>
          <w:szCs w:val="24"/>
          <w:lang w:val="en-US" w:eastAsia="en-GB"/>
        </w:rPr>
        <w:t>The MATURE website (</w:t>
      </w:r>
      <w:hyperlink r:id="rId12" w:history="1">
        <w:r w:rsidRPr="00632D40">
          <w:rPr>
            <w:rStyle w:val="Hyperlink"/>
            <w:rFonts w:eastAsia="Times New Roman" w:cs="Times New Roman"/>
            <w:sz w:val="24"/>
            <w:szCs w:val="24"/>
            <w:lang w:val="en-US" w:eastAsia="en-GB"/>
          </w:rPr>
          <w:t>http://matureproject.eu/</w:t>
        </w:r>
      </w:hyperlink>
      <w:r w:rsidRPr="00632D40">
        <w:rPr>
          <w:rFonts w:eastAsia="Times New Roman" w:cs="Times New Roman"/>
          <w:sz w:val="24"/>
          <w:szCs w:val="24"/>
          <w:lang w:val="en-US" w:eastAsia="en-GB"/>
        </w:rPr>
        <w:t>) offers content and links that furnish background information and underpinning theory for trainees. On the website you will find:</w:t>
      </w:r>
    </w:p>
    <w:p w:rsidR="001A7792" w:rsidRPr="00632D40" w:rsidRDefault="001A7792" w:rsidP="001A7792">
      <w:pPr>
        <w:pStyle w:val="ListParagraph"/>
        <w:numPr>
          <w:ilvl w:val="0"/>
          <w:numId w:val="10"/>
        </w:numPr>
        <w:spacing w:before="100" w:beforeAutospacing="1" w:after="100" w:afterAutospacing="1" w:line="240" w:lineRule="auto"/>
        <w:rPr>
          <w:rFonts w:eastAsia="Times New Roman" w:cs="Times New Roman"/>
          <w:sz w:val="24"/>
          <w:szCs w:val="24"/>
          <w:lang w:val="en-US" w:eastAsia="en-GB"/>
        </w:rPr>
      </w:pPr>
      <w:r w:rsidRPr="00632D40">
        <w:rPr>
          <w:rFonts w:eastAsia="Times New Roman" w:cs="Times New Roman"/>
          <w:sz w:val="24"/>
          <w:szCs w:val="24"/>
          <w:lang w:val="en-US" w:eastAsia="en-GB"/>
        </w:rPr>
        <w:t>The MATURE research document (in English) that details the sources of training programme content. (</w:t>
      </w:r>
      <w:hyperlink r:id="rId13" w:history="1">
        <w:r w:rsidRPr="00632D40">
          <w:rPr>
            <w:rStyle w:val="Hyperlink"/>
            <w:rFonts w:eastAsia="Times New Roman" w:cs="Times New Roman"/>
            <w:sz w:val="24"/>
            <w:szCs w:val="24"/>
            <w:lang w:val="en-US" w:eastAsia="en-GB"/>
          </w:rPr>
          <w:t>http://matureproject.eu/research-report</w:t>
        </w:r>
      </w:hyperlink>
      <w:r w:rsidRPr="00632D40">
        <w:rPr>
          <w:rFonts w:eastAsia="Times New Roman" w:cs="Times New Roman"/>
          <w:sz w:val="24"/>
          <w:szCs w:val="24"/>
          <w:lang w:val="en-US" w:eastAsia="en-GB"/>
        </w:rPr>
        <w:t xml:space="preserve">) </w:t>
      </w:r>
    </w:p>
    <w:p w:rsidR="001A7792" w:rsidRPr="00632D40" w:rsidRDefault="001A7792" w:rsidP="001A7792">
      <w:pPr>
        <w:pStyle w:val="ListParagraph"/>
        <w:numPr>
          <w:ilvl w:val="0"/>
          <w:numId w:val="10"/>
        </w:numPr>
        <w:spacing w:before="100" w:beforeAutospacing="1" w:after="100" w:afterAutospacing="1" w:line="240" w:lineRule="auto"/>
        <w:rPr>
          <w:rFonts w:eastAsia="Times New Roman" w:cs="Times New Roman"/>
          <w:sz w:val="24"/>
          <w:szCs w:val="24"/>
          <w:lang w:val="en-US" w:eastAsia="en-GB"/>
        </w:rPr>
      </w:pPr>
      <w:r w:rsidRPr="00632D40">
        <w:rPr>
          <w:rFonts w:eastAsia="Times New Roman" w:cs="Times New Roman"/>
          <w:sz w:val="24"/>
          <w:szCs w:val="24"/>
          <w:lang w:val="en-US" w:eastAsia="en-GB"/>
        </w:rPr>
        <w:t>The advice booklet for intermediaries that addresses the engagement of hard to reach older adu</w:t>
      </w:r>
      <w:r w:rsidR="00381663">
        <w:rPr>
          <w:rFonts w:eastAsia="Times New Roman" w:cs="Times New Roman"/>
          <w:sz w:val="24"/>
          <w:szCs w:val="24"/>
          <w:lang w:val="en-US" w:eastAsia="en-GB"/>
        </w:rPr>
        <w:t>lts through the medium of third-</w:t>
      </w:r>
      <w:r w:rsidRPr="00632D40">
        <w:rPr>
          <w:rFonts w:eastAsia="Times New Roman" w:cs="Times New Roman"/>
          <w:sz w:val="24"/>
          <w:szCs w:val="24"/>
          <w:lang w:val="en-US" w:eastAsia="en-GB"/>
        </w:rPr>
        <w:t>party intervention. (</w:t>
      </w:r>
      <w:hyperlink r:id="rId14" w:history="1">
        <w:r w:rsidRPr="00632D40">
          <w:rPr>
            <w:rStyle w:val="Hyperlink"/>
            <w:rFonts w:eastAsia="Times New Roman" w:cs="Times New Roman"/>
            <w:sz w:val="24"/>
            <w:szCs w:val="24"/>
            <w:lang w:val="en-US" w:eastAsia="en-GB"/>
          </w:rPr>
          <w:t>http://matureproject.eu/advice-booklet</w:t>
        </w:r>
      </w:hyperlink>
      <w:r w:rsidRPr="00632D40">
        <w:rPr>
          <w:rFonts w:eastAsia="Times New Roman" w:cs="Times New Roman"/>
          <w:sz w:val="24"/>
          <w:szCs w:val="24"/>
          <w:lang w:val="en-US" w:eastAsia="en-GB"/>
        </w:rPr>
        <w:t xml:space="preserve">) </w:t>
      </w:r>
    </w:p>
    <w:p w:rsidR="001A7792" w:rsidRDefault="001A7792" w:rsidP="001A7792">
      <w:pPr>
        <w:pStyle w:val="ListParagraph"/>
        <w:numPr>
          <w:ilvl w:val="0"/>
          <w:numId w:val="10"/>
        </w:numPr>
        <w:spacing w:before="100" w:beforeAutospacing="1" w:after="100" w:afterAutospacing="1" w:line="240" w:lineRule="auto"/>
        <w:rPr>
          <w:rFonts w:eastAsia="Times New Roman" w:cs="Times New Roman"/>
          <w:sz w:val="24"/>
          <w:szCs w:val="24"/>
          <w:lang w:val="en-US" w:eastAsia="en-GB"/>
        </w:rPr>
      </w:pPr>
      <w:r w:rsidRPr="00632D40">
        <w:rPr>
          <w:rFonts w:eastAsia="Times New Roman" w:cs="Times New Roman"/>
          <w:sz w:val="24"/>
          <w:szCs w:val="24"/>
          <w:lang w:val="en-US" w:eastAsia="en-GB"/>
        </w:rPr>
        <w:t>Links to a range of European sources, projects and publications that have links with later</w:t>
      </w:r>
      <w:r w:rsidR="00381663">
        <w:rPr>
          <w:rFonts w:eastAsia="Times New Roman" w:cs="Times New Roman"/>
          <w:sz w:val="24"/>
          <w:szCs w:val="24"/>
          <w:lang w:val="en-US" w:eastAsia="en-GB"/>
        </w:rPr>
        <w:t>-</w:t>
      </w:r>
      <w:r w:rsidRPr="00632D40">
        <w:rPr>
          <w:rFonts w:eastAsia="Times New Roman" w:cs="Times New Roman"/>
          <w:sz w:val="24"/>
          <w:szCs w:val="24"/>
          <w:lang w:val="en-US" w:eastAsia="en-GB"/>
        </w:rPr>
        <w:t>life learning; teaching and training; issues and concerns affecting the lives of seniors. (</w:t>
      </w:r>
      <w:hyperlink r:id="rId15" w:history="1">
        <w:r w:rsidRPr="00632D40">
          <w:rPr>
            <w:rStyle w:val="Hyperlink"/>
            <w:rFonts w:eastAsia="Times New Roman" w:cs="Times New Roman"/>
            <w:sz w:val="24"/>
            <w:szCs w:val="24"/>
            <w:lang w:val="en-US" w:eastAsia="en-GB"/>
          </w:rPr>
          <w:t>http://matureproject.eu/links-2</w:t>
        </w:r>
      </w:hyperlink>
      <w:r w:rsidRPr="00632D40">
        <w:rPr>
          <w:rFonts w:eastAsia="Times New Roman" w:cs="Times New Roman"/>
          <w:sz w:val="24"/>
          <w:szCs w:val="24"/>
          <w:lang w:val="en-US" w:eastAsia="en-GB"/>
        </w:rPr>
        <w:t xml:space="preserve">) </w:t>
      </w:r>
    </w:p>
    <w:p w:rsidR="001A7792" w:rsidRDefault="001A7792" w:rsidP="001A7792">
      <w:pPr>
        <w:spacing w:before="100" w:beforeAutospacing="1" w:after="100" w:afterAutospacing="1" w:line="240" w:lineRule="auto"/>
        <w:rPr>
          <w:rFonts w:eastAsia="Times New Roman" w:cs="Times New Roman"/>
          <w:sz w:val="24"/>
          <w:szCs w:val="24"/>
          <w:lang w:val="en-US" w:eastAsia="en-GB"/>
        </w:rPr>
      </w:pPr>
      <w:r>
        <w:rPr>
          <w:rFonts w:eastAsia="Times New Roman" w:cs="Times New Roman"/>
          <w:sz w:val="24"/>
          <w:szCs w:val="24"/>
          <w:lang w:val="en-US" w:eastAsia="en-GB"/>
        </w:rPr>
        <w:t xml:space="preserve">Much of MATURE’s work has developed from previous European projects in which partner organisations have been involved. </w:t>
      </w:r>
      <w:r w:rsidR="00A06F2A">
        <w:rPr>
          <w:rFonts w:eastAsia="Times New Roman" w:cs="Times New Roman"/>
          <w:sz w:val="24"/>
          <w:szCs w:val="24"/>
          <w:lang w:val="en-US" w:eastAsia="en-GB"/>
        </w:rPr>
        <w:t>As pre-preparation for or to complement MATURE training, you should consult:</w:t>
      </w:r>
    </w:p>
    <w:p w:rsidR="00A06F2A" w:rsidRDefault="00A06F2A" w:rsidP="00A06F2A">
      <w:pPr>
        <w:pStyle w:val="ListParagraph"/>
        <w:numPr>
          <w:ilvl w:val="0"/>
          <w:numId w:val="11"/>
        </w:numPr>
        <w:spacing w:before="100" w:beforeAutospacing="1" w:after="100" w:afterAutospacing="1" w:line="240" w:lineRule="auto"/>
        <w:rPr>
          <w:rFonts w:eastAsia="Times New Roman" w:cs="Times New Roman"/>
          <w:sz w:val="24"/>
          <w:szCs w:val="24"/>
          <w:lang w:val="en-US" w:eastAsia="en-GB"/>
        </w:rPr>
      </w:pPr>
      <w:r>
        <w:rPr>
          <w:rFonts w:eastAsia="Times New Roman" w:cs="Times New Roman"/>
          <w:sz w:val="24"/>
          <w:szCs w:val="24"/>
          <w:lang w:val="en-US" w:eastAsia="en-GB"/>
        </w:rPr>
        <w:t>The LISA booklet on networking</w:t>
      </w:r>
      <w:r w:rsidR="002D7370">
        <w:rPr>
          <w:rFonts w:eastAsia="Times New Roman" w:cs="Times New Roman"/>
          <w:sz w:val="24"/>
          <w:szCs w:val="24"/>
          <w:lang w:val="en-US" w:eastAsia="en-GB"/>
        </w:rPr>
        <w:t xml:space="preserve"> in support of later life learning</w:t>
      </w:r>
      <w:r>
        <w:rPr>
          <w:rFonts w:eastAsia="Times New Roman" w:cs="Times New Roman"/>
          <w:sz w:val="24"/>
          <w:szCs w:val="24"/>
          <w:lang w:val="en-US" w:eastAsia="en-GB"/>
        </w:rPr>
        <w:t xml:space="preserve"> </w:t>
      </w:r>
      <w:hyperlink r:id="rId16" w:history="1">
        <w:r w:rsidRPr="003208EC">
          <w:rPr>
            <w:rStyle w:val="Hyperlink"/>
            <w:rFonts w:eastAsia="Times New Roman" w:cs="Times New Roman"/>
            <w:sz w:val="24"/>
            <w:szCs w:val="24"/>
            <w:lang w:val="en-US" w:eastAsia="en-GB"/>
          </w:rPr>
          <w:t>http://www.bia-net.org/lisa</w:t>
        </w:r>
      </w:hyperlink>
    </w:p>
    <w:p w:rsidR="00A06F2A" w:rsidRDefault="00A06F2A" w:rsidP="00A06F2A">
      <w:pPr>
        <w:pStyle w:val="ListParagraph"/>
        <w:numPr>
          <w:ilvl w:val="0"/>
          <w:numId w:val="11"/>
        </w:numPr>
        <w:spacing w:before="100" w:beforeAutospacing="1" w:after="100" w:afterAutospacing="1" w:line="240" w:lineRule="auto"/>
        <w:rPr>
          <w:rFonts w:eastAsia="Times New Roman" w:cs="Times New Roman"/>
          <w:sz w:val="24"/>
          <w:szCs w:val="24"/>
          <w:lang w:val="en-US" w:eastAsia="en-GB"/>
        </w:rPr>
      </w:pPr>
      <w:r>
        <w:rPr>
          <w:rFonts w:eastAsia="Times New Roman" w:cs="Times New Roman"/>
          <w:sz w:val="24"/>
          <w:szCs w:val="24"/>
          <w:lang w:val="en-US" w:eastAsia="en-GB"/>
        </w:rPr>
        <w:t xml:space="preserve">The LENA guide on </w:t>
      </w:r>
      <w:r w:rsidR="002D7370">
        <w:rPr>
          <w:rFonts w:eastAsia="Times New Roman" w:cs="Times New Roman"/>
          <w:sz w:val="24"/>
          <w:szCs w:val="24"/>
          <w:lang w:val="en-US" w:eastAsia="en-GB"/>
        </w:rPr>
        <w:t xml:space="preserve">cooperative models </w:t>
      </w:r>
      <w:r>
        <w:rPr>
          <w:rFonts w:eastAsia="Times New Roman" w:cs="Times New Roman"/>
          <w:sz w:val="24"/>
          <w:szCs w:val="24"/>
          <w:lang w:val="en-US" w:eastAsia="en-GB"/>
        </w:rPr>
        <w:t xml:space="preserve">of </w:t>
      </w:r>
      <w:r w:rsidR="002D7370">
        <w:rPr>
          <w:rFonts w:eastAsia="Times New Roman" w:cs="Times New Roman"/>
          <w:sz w:val="24"/>
          <w:szCs w:val="24"/>
          <w:lang w:val="en-US" w:eastAsia="en-GB"/>
        </w:rPr>
        <w:t xml:space="preserve">effective later life </w:t>
      </w:r>
      <w:r>
        <w:rPr>
          <w:rFonts w:eastAsia="Times New Roman" w:cs="Times New Roman"/>
          <w:sz w:val="24"/>
          <w:szCs w:val="24"/>
          <w:lang w:val="en-US" w:eastAsia="en-GB"/>
        </w:rPr>
        <w:t xml:space="preserve">learning </w:t>
      </w:r>
      <w:hyperlink r:id="rId17" w:history="1">
        <w:r w:rsidRPr="003208EC">
          <w:rPr>
            <w:rStyle w:val="Hyperlink"/>
            <w:rFonts w:eastAsia="Times New Roman" w:cs="Times New Roman"/>
            <w:sz w:val="24"/>
            <w:szCs w:val="24"/>
            <w:lang w:val="en-US" w:eastAsia="en-GB"/>
          </w:rPr>
          <w:t>http://www.bia-net.org/en/lena.html</w:t>
        </w:r>
      </w:hyperlink>
    </w:p>
    <w:p w:rsidR="00A06F2A" w:rsidRDefault="00A06F2A" w:rsidP="00A06F2A">
      <w:pPr>
        <w:pStyle w:val="ListParagraph"/>
        <w:numPr>
          <w:ilvl w:val="0"/>
          <w:numId w:val="11"/>
        </w:numPr>
        <w:spacing w:before="100" w:beforeAutospacing="1" w:after="100" w:afterAutospacing="1" w:line="240" w:lineRule="auto"/>
        <w:rPr>
          <w:rFonts w:eastAsia="Times New Roman" w:cs="Times New Roman"/>
          <w:sz w:val="24"/>
          <w:szCs w:val="24"/>
          <w:lang w:val="en-US" w:eastAsia="en-GB"/>
        </w:rPr>
      </w:pPr>
      <w:r>
        <w:rPr>
          <w:rFonts w:eastAsia="Times New Roman" w:cs="Times New Roman"/>
          <w:sz w:val="24"/>
          <w:szCs w:val="24"/>
          <w:lang w:val="en-US" w:eastAsia="en-GB"/>
        </w:rPr>
        <w:t xml:space="preserve">The LARA guide on delivering teaching for ageing </w:t>
      </w:r>
      <w:hyperlink r:id="rId18" w:history="1">
        <w:r w:rsidRPr="003208EC">
          <w:rPr>
            <w:rStyle w:val="Hyperlink"/>
            <w:rFonts w:eastAsia="Times New Roman" w:cs="Times New Roman"/>
            <w:sz w:val="24"/>
            <w:szCs w:val="24"/>
            <w:lang w:val="en-US" w:eastAsia="en-GB"/>
          </w:rPr>
          <w:t>http://www.laraproject.net/</w:t>
        </w:r>
      </w:hyperlink>
    </w:p>
    <w:p w:rsidR="00A06F2A" w:rsidRDefault="00A06F2A" w:rsidP="00BC63AB">
      <w:pPr>
        <w:pStyle w:val="ListParagraph"/>
        <w:numPr>
          <w:ilvl w:val="0"/>
          <w:numId w:val="11"/>
        </w:numPr>
        <w:spacing w:before="100" w:beforeAutospacing="1" w:after="100" w:afterAutospacing="1" w:line="240" w:lineRule="auto"/>
        <w:rPr>
          <w:rFonts w:eastAsia="Times New Roman" w:cs="Times New Roman"/>
          <w:sz w:val="24"/>
          <w:szCs w:val="24"/>
          <w:lang w:val="en-US" w:eastAsia="en-GB"/>
        </w:rPr>
      </w:pPr>
      <w:r>
        <w:rPr>
          <w:rFonts w:eastAsia="Times New Roman" w:cs="Times New Roman"/>
          <w:sz w:val="24"/>
          <w:szCs w:val="24"/>
          <w:lang w:val="en-US" w:eastAsia="en-GB"/>
        </w:rPr>
        <w:t>The EuBia</w:t>
      </w:r>
      <w:r w:rsidR="002D7370">
        <w:rPr>
          <w:rFonts w:eastAsia="Times New Roman" w:cs="Times New Roman"/>
          <w:sz w:val="24"/>
          <w:szCs w:val="24"/>
          <w:lang w:val="en-US" w:eastAsia="en-GB"/>
        </w:rPr>
        <w:t xml:space="preserve"> guide</w:t>
      </w:r>
      <w:r>
        <w:rPr>
          <w:rFonts w:eastAsia="Times New Roman" w:cs="Times New Roman"/>
          <w:sz w:val="24"/>
          <w:szCs w:val="24"/>
          <w:lang w:val="en-US" w:eastAsia="en-GB"/>
        </w:rPr>
        <w:t xml:space="preserve"> on the benefits of collaborative practice in later life learning </w:t>
      </w:r>
      <w:hyperlink r:id="rId19" w:history="1">
        <w:r w:rsidRPr="003208EC">
          <w:rPr>
            <w:rStyle w:val="Hyperlink"/>
            <w:rFonts w:eastAsia="Times New Roman" w:cs="Times New Roman"/>
            <w:sz w:val="24"/>
            <w:szCs w:val="24"/>
            <w:lang w:val="en-US" w:eastAsia="en-GB"/>
          </w:rPr>
          <w:t>http://www.bia-net.org/en/eubia.html</w:t>
        </w:r>
      </w:hyperlink>
      <w:r>
        <w:rPr>
          <w:rFonts w:eastAsia="Times New Roman" w:cs="Times New Roman"/>
          <w:sz w:val="24"/>
          <w:szCs w:val="24"/>
          <w:lang w:val="en-US" w:eastAsia="en-GB"/>
        </w:rPr>
        <w:t xml:space="preserve"> </w:t>
      </w:r>
    </w:p>
    <w:p w:rsidR="00AE7452" w:rsidRPr="00AE7452" w:rsidRDefault="00AE7452" w:rsidP="00AE7452">
      <w:pPr>
        <w:spacing w:before="100" w:beforeAutospacing="1" w:after="100" w:afterAutospacing="1" w:line="240" w:lineRule="auto"/>
        <w:rPr>
          <w:rFonts w:eastAsia="Times New Roman" w:cs="Times New Roman"/>
          <w:sz w:val="24"/>
          <w:szCs w:val="24"/>
          <w:lang w:val="en-US" w:eastAsia="en-GB"/>
        </w:rPr>
      </w:pPr>
      <w:r>
        <w:rPr>
          <w:rFonts w:eastAsia="Times New Roman" w:cs="Times New Roman"/>
          <w:sz w:val="24"/>
          <w:szCs w:val="24"/>
          <w:lang w:val="en-US" w:eastAsia="en-GB"/>
        </w:rPr>
        <w:t xml:space="preserve">MATURE has also made use of the </w:t>
      </w:r>
      <w:r w:rsidR="00E34EC1">
        <w:rPr>
          <w:rFonts w:eastAsia="Times New Roman" w:cs="Times New Roman"/>
          <w:sz w:val="24"/>
          <w:szCs w:val="24"/>
          <w:lang w:val="en-US" w:eastAsia="en-GB"/>
        </w:rPr>
        <w:t>ForAge database</w:t>
      </w:r>
      <w:r>
        <w:rPr>
          <w:rFonts w:eastAsia="Times New Roman" w:cs="Times New Roman"/>
          <w:sz w:val="24"/>
          <w:szCs w:val="24"/>
          <w:lang w:val="en-US" w:eastAsia="en-GB"/>
        </w:rPr>
        <w:t>: (</w:t>
      </w:r>
      <w:hyperlink r:id="rId20" w:history="1">
        <w:r w:rsidRPr="00C56435">
          <w:rPr>
            <w:rStyle w:val="Hyperlink"/>
            <w:rFonts w:eastAsia="Times New Roman" w:cs="Times New Roman"/>
            <w:sz w:val="24"/>
            <w:szCs w:val="24"/>
            <w:lang w:val="en-US" w:eastAsia="en-GB"/>
          </w:rPr>
          <w:t>http://www.foragenetwork.eu/en/</w:t>
        </w:r>
      </w:hyperlink>
      <w:r>
        <w:rPr>
          <w:rFonts w:eastAsia="Times New Roman" w:cs="Times New Roman"/>
          <w:sz w:val="24"/>
          <w:szCs w:val="24"/>
          <w:lang w:val="en-US" w:eastAsia="en-GB"/>
        </w:rPr>
        <w:t xml:space="preserve">). ForAge is a European multi-lateral network </w:t>
      </w:r>
      <w:r w:rsidR="00E34EC1">
        <w:rPr>
          <w:rFonts w:eastAsia="Times New Roman" w:cs="Times New Roman"/>
          <w:sz w:val="24"/>
          <w:szCs w:val="24"/>
          <w:lang w:val="en-US" w:eastAsia="en-GB"/>
        </w:rPr>
        <w:t xml:space="preserve">set up </w:t>
      </w:r>
      <w:r>
        <w:rPr>
          <w:rFonts w:eastAsia="Times New Roman" w:cs="Times New Roman"/>
          <w:sz w:val="24"/>
          <w:szCs w:val="24"/>
          <w:lang w:val="en-US" w:eastAsia="en-GB"/>
        </w:rPr>
        <w:t xml:space="preserve">with the aim of communicating and promoting experiences of learning for older people. Part of its remit is to become the </w:t>
      </w:r>
      <w:r>
        <w:rPr>
          <w:rFonts w:eastAsia="Times New Roman" w:cs="Times New Roman"/>
          <w:sz w:val="24"/>
          <w:szCs w:val="24"/>
          <w:lang w:val="en-US" w:eastAsia="en-GB"/>
        </w:rPr>
        <w:lastRenderedPageBreak/>
        <w:t>repository for documents and projects relating to policy, practice and research in later life learning. As such it is a prime resource for adult educators.</w:t>
      </w:r>
    </w:p>
    <w:p w:rsidR="00C73E78" w:rsidRPr="001A7792" w:rsidRDefault="00C73E78">
      <w:pPr>
        <w:rPr>
          <w:sz w:val="24"/>
          <w:szCs w:val="24"/>
        </w:rPr>
      </w:pPr>
    </w:p>
    <w:sectPr w:rsidR="00C73E78" w:rsidRPr="001A7792">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2AF" w:rsidRDefault="00FC22AF" w:rsidP="00BC63AB">
      <w:pPr>
        <w:spacing w:after="0" w:line="240" w:lineRule="auto"/>
      </w:pPr>
      <w:r>
        <w:separator/>
      </w:r>
    </w:p>
  </w:endnote>
  <w:endnote w:type="continuationSeparator" w:id="0">
    <w:p w:rsidR="00FC22AF" w:rsidRDefault="00FC22AF" w:rsidP="00BC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934575"/>
      <w:docPartObj>
        <w:docPartGallery w:val="Page Numbers (Bottom of Page)"/>
        <w:docPartUnique/>
      </w:docPartObj>
    </w:sdtPr>
    <w:sdtEndPr>
      <w:rPr>
        <w:noProof/>
      </w:rPr>
    </w:sdtEndPr>
    <w:sdtContent>
      <w:p w:rsidR="00BC63AB" w:rsidRDefault="00BC63AB">
        <w:pPr>
          <w:pStyle w:val="Footer"/>
        </w:pPr>
        <w:r>
          <w:t xml:space="preserve">Page | </w:t>
        </w:r>
        <w:r>
          <w:fldChar w:fldCharType="begin"/>
        </w:r>
        <w:r>
          <w:instrText xml:space="preserve"> PAGE   \* MERGEFORMAT </w:instrText>
        </w:r>
        <w:r>
          <w:fldChar w:fldCharType="separate"/>
        </w:r>
        <w:r w:rsidR="008D5E2B">
          <w:rPr>
            <w:noProof/>
          </w:rPr>
          <w:t>4</w:t>
        </w:r>
        <w:r>
          <w:rPr>
            <w:noProof/>
          </w:rPr>
          <w:fldChar w:fldCharType="end"/>
        </w:r>
      </w:p>
    </w:sdtContent>
  </w:sdt>
  <w:p w:rsidR="00BC63AB" w:rsidRDefault="00BC63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2AF" w:rsidRDefault="00FC22AF" w:rsidP="00BC63AB">
      <w:pPr>
        <w:spacing w:after="0" w:line="240" w:lineRule="auto"/>
      </w:pPr>
      <w:r>
        <w:separator/>
      </w:r>
    </w:p>
  </w:footnote>
  <w:footnote w:type="continuationSeparator" w:id="0">
    <w:p w:rsidR="00FC22AF" w:rsidRDefault="00FC22AF" w:rsidP="00BC63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244962"/>
      <w:docPartObj>
        <w:docPartGallery w:val="Watermarks"/>
        <w:docPartUnique/>
      </w:docPartObj>
    </w:sdtPr>
    <w:sdtEndPr/>
    <w:sdtContent>
      <w:p w:rsidR="00BC63AB" w:rsidRDefault="00FC22AF">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37A"/>
    <w:multiLevelType w:val="multilevel"/>
    <w:tmpl w:val="F1B06E0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2B6722"/>
    <w:multiLevelType w:val="hybridMultilevel"/>
    <w:tmpl w:val="9C32B3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32A5481"/>
    <w:multiLevelType w:val="multilevel"/>
    <w:tmpl w:val="13CA9D3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38F0C58"/>
    <w:multiLevelType w:val="hybridMultilevel"/>
    <w:tmpl w:val="A196605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nsid w:val="1422180C"/>
    <w:multiLevelType w:val="multilevel"/>
    <w:tmpl w:val="66A2DD4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A80550C"/>
    <w:multiLevelType w:val="hybridMultilevel"/>
    <w:tmpl w:val="DB70E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1D0422"/>
    <w:multiLevelType w:val="hybridMultilevel"/>
    <w:tmpl w:val="864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9F3D6F"/>
    <w:multiLevelType w:val="multilevel"/>
    <w:tmpl w:val="5C0A778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FE20C5"/>
    <w:multiLevelType w:val="hybridMultilevel"/>
    <w:tmpl w:val="A8428E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34B0EFB"/>
    <w:multiLevelType w:val="hybridMultilevel"/>
    <w:tmpl w:val="CC6E4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E0123B"/>
    <w:multiLevelType w:val="multilevel"/>
    <w:tmpl w:val="21A8B60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8CD438E"/>
    <w:multiLevelType w:val="multilevel"/>
    <w:tmpl w:val="D9A670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4E7102"/>
    <w:multiLevelType w:val="multilevel"/>
    <w:tmpl w:val="42924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D278D4"/>
    <w:multiLevelType w:val="hybridMultilevel"/>
    <w:tmpl w:val="54C2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922AAB"/>
    <w:multiLevelType w:val="hybridMultilevel"/>
    <w:tmpl w:val="25CC8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6A50F88"/>
    <w:multiLevelType w:val="hybridMultilevel"/>
    <w:tmpl w:val="16286BD4"/>
    <w:lvl w:ilvl="0" w:tplc="D2F81702">
      <w:start w:val="3"/>
      <w:numFmt w:val="decimal"/>
      <w:lvlText w:val="%1."/>
      <w:lvlJc w:val="left"/>
      <w:pPr>
        <w:ind w:left="786" w:hanging="36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nsid w:val="66F63940"/>
    <w:multiLevelType w:val="multilevel"/>
    <w:tmpl w:val="1604110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70B93516"/>
    <w:multiLevelType w:val="hybridMultilevel"/>
    <w:tmpl w:val="AF98E8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1495F2A"/>
    <w:multiLevelType w:val="hybridMultilevel"/>
    <w:tmpl w:val="25EE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
  </w:num>
  <w:num w:numId="4">
    <w:abstractNumId w:val="8"/>
  </w:num>
  <w:num w:numId="5">
    <w:abstractNumId w:val="17"/>
  </w:num>
  <w:num w:numId="6">
    <w:abstractNumId w:val="1"/>
  </w:num>
  <w:num w:numId="7">
    <w:abstractNumId w:val="12"/>
  </w:num>
  <w:num w:numId="8">
    <w:abstractNumId w:val="7"/>
  </w:num>
  <w:num w:numId="9">
    <w:abstractNumId w:val="16"/>
  </w:num>
  <w:num w:numId="10">
    <w:abstractNumId w:val="13"/>
  </w:num>
  <w:num w:numId="11">
    <w:abstractNumId w:val="18"/>
  </w:num>
  <w:num w:numId="12">
    <w:abstractNumId w:val="5"/>
  </w:num>
  <w:num w:numId="13">
    <w:abstractNumId w:val="0"/>
  </w:num>
  <w:num w:numId="14">
    <w:abstractNumId w:val="15"/>
  </w:num>
  <w:num w:numId="15">
    <w:abstractNumId w:val="11"/>
  </w:num>
  <w:num w:numId="16">
    <w:abstractNumId w:val="10"/>
  </w:num>
  <w:num w:numId="17">
    <w:abstractNumId w:val="6"/>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2"/>
    <w:rsid w:val="000E6312"/>
    <w:rsid w:val="001139DD"/>
    <w:rsid w:val="001A7792"/>
    <w:rsid w:val="001B4C94"/>
    <w:rsid w:val="001C28B7"/>
    <w:rsid w:val="00250434"/>
    <w:rsid w:val="00263162"/>
    <w:rsid w:val="002A489D"/>
    <w:rsid w:val="002D7370"/>
    <w:rsid w:val="003543A7"/>
    <w:rsid w:val="00381663"/>
    <w:rsid w:val="003828A3"/>
    <w:rsid w:val="003E102F"/>
    <w:rsid w:val="00492F4F"/>
    <w:rsid w:val="004B1B7E"/>
    <w:rsid w:val="0053422F"/>
    <w:rsid w:val="00586CDB"/>
    <w:rsid w:val="00677881"/>
    <w:rsid w:val="006B1EC8"/>
    <w:rsid w:val="006B519A"/>
    <w:rsid w:val="006C3BF0"/>
    <w:rsid w:val="007378B3"/>
    <w:rsid w:val="0079214F"/>
    <w:rsid w:val="007D44B8"/>
    <w:rsid w:val="008A5D71"/>
    <w:rsid w:val="008D5E2B"/>
    <w:rsid w:val="008E047D"/>
    <w:rsid w:val="00951735"/>
    <w:rsid w:val="00955388"/>
    <w:rsid w:val="00980CCC"/>
    <w:rsid w:val="0098649B"/>
    <w:rsid w:val="00996935"/>
    <w:rsid w:val="009B00E9"/>
    <w:rsid w:val="009B79FF"/>
    <w:rsid w:val="00A01973"/>
    <w:rsid w:val="00A06F2A"/>
    <w:rsid w:val="00A1121F"/>
    <w:rsid w:val="00AB51F1"/>
    <w:rsid w:val="00AC1ABC"/>
    <w:rsid w:val="00AD4AAB"/>
    <w:rsid w:val="00AE7452"/>
    <w:rsid w:val="00B075EC"/>
    <w:rsid w:val="00B26C33"/>
    <w:rsid w:val="00BB4203"/>
    <w:rsid w:val="00BC63AB"/>
    <w:rsid w:val="00C57768"/>
    <w:rsid w:val="00C67DCD"/>
    <w:rsid w:val="00C73E78"/>
    <w:rsid w:val="00CA2E0F"/>
    <w:rsid w:val="00D111D8"/>
    <w:rsid w:val="00D54EDF"/>
    <w:rsid w:val="00D978D1"/>
    <w:rsid w:val="00E34EC1"/>
    <w:rsid w:val="00E45BC7"/>
    <w:rsid w:val="00E6220A"/>
    <w:rsid w:val="00FC2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7792"/>
    <w:rPr>
      <w:color w:val="0000FF"/>
      <w:u w:val="single"/>
    </w:rPr>
  </w:style>
  <w:style w:type="paragraph" w:styleId="ListParagraph">
    <w:name w:val="List Paragraph"/>
    <w:basedOn w:val="Normal"/>
    <w:uiPriority w:val="34"/>
    <w:qFormat/>
    <w:rsid w:val="001A7792"/>
    <w:pPr>
      <w:ind w:left="720"/>
      <w:contextualSpacing/>
    </w:pPr>
  </w:style>
  <w:style w:type="table" w:styleId="TableGrid">
    <w:name w:val="Table Grid"/>
    <w:basedOn w:val="TableNormal"/>
    <w:rsid w:val="001A77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7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792"/>
    <w:rPr>
      <w:rFonts w:ascii="Tahoma" w:hAnsi="Tahoma" w:cs="Tahoma"/>
      <w:sz w:val="16"/>
      <w:szCs w:val="16"/>
    </w:rPr>
  </w:style>
  <w:style w:type="paragraph" w:styleId="Header">
    <w:name w:val="header"/>
    <w:basedOn w:val="Normal"/>
    <w:link w:val="HeaderChar"/>
    <w:uiPriority w:val="99"/>
    <w:unhideWhenUsed/>
    <w:rsid w:val="00BC6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3AB"/>
  </w:style>
  <w:style w:type="paragraph" w:styleId="Footer">
    <w:name w:val="footer"/>
    <w:basedOn w:val="Normal"/>
    <w:link w:val="FooterChar"/>
    <w:uiPriority w:val="99"/>
    <w:unhideWhenUsed/>
    <w:rsid w:val="00BC6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3AB"/>
  </w:style>
  <w:style w:type="paragraph" w:styleId="NormalWeb">
    <w:name w:val="Normal (Web)"/>
    <w:basedOn w:val="Normal"/>
    <w:rsid w:val="007378B3"/>
    <w:pPr>
      <w:spacing w:before="100" w:beforeAutospacing="1" w:after="100" w:afterAutospacing="1" w:line="240" w:lineRule="auto"/>
    </w:pPr>
    <w:rPr>
      <w:rFonts w:ascii="Times New Roman" w:eastAsia="Times New Roman" w:hAnsi="Times New Roman" w:cs="Times New Roman"/>
      <w:noProof/>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7792"/>
    <w:rPr>
      <w:color w:val="0000FF"/>
      <w:u w:val="single"/>
    </w:rPr>
  </w:style>
  <w:style w:type="paragraph" w:styleId="ListParagraph">
    <w:name w:val="List Paragraph"/>
    <w:basedOn w:val="Normal"/>
    <w:uiPriority w:val="34"/>
    <w:qFormat/>
    <w:rsid w:val="001A7792"/>
    <w:pPr>
      <w:ind w:left="720"/>
      <w:contextualSpacing/>
    </w:pPr>
  </w:style>
  <w:style w:type="table" w:styleId="TableGrid">
    <w:name w:val="Table Grid"/>
    <w:basedOn w:val="TableNormal"/>
    <w:rsid w:val="001A77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7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792"/>
    <w:rPr>
      <w:rFonts w:ascii="Tahoma" w:hAnsi="Tahoma" w:cs="Tahoma"/>
      <w:sz w:val="16"/>
      <w:szCs w:val="16"/>
    </w:rPr>
  </w:style>
  <w:style w:type="paragraph" w:styleId="Header">
    <w:name w:val="header"/>
    <w:basedOn w:val="Normal"/>
    <w:link w:val="HeaderChar"/>
    <w:uiPriority w:val="99"/>
    <w:unhideWhenUsed/>
    <w:rsid w:val="00BC6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3AB"/>
  </w:style>
  <w:style w:type="paragraph" w:styleId="Footer">
    <w:name w:val="footer"/>
    <w:basedOn w:val="Normal"/>
    <w:link w:val="FooterChar"/>
    <w:uiPriority w:val="99"/>
    <w:unhideWhenUsed/>
    <w:rsid w:val="00BC6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3AB"/>
  </w:style>
  <w:style w:type="paragraph" w:styleId="NormalWeb">
    <w:name w:val="Normal (Web)"/>
    <w:basedOn w:val="Normal"/>
    <w:rsid w:val="007378B3"/>
    <w:pPr>
      <w:spacing w:before="100" w:beforeAutospacing="1" w:after="100" w:afterAutospacing="1" w:line="240" w:lineRule="auto"/>
    </w:pPr>
    <w:rPr>
      <w:rFonts w:ascii="Times New Roman" w:eastAsia="Times New Roman" w:hAnsi="Times New Roman" w:cs="Times New Roman"/>
      <w:noProo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tureproject.eu/research-report" TargetMode="External"/><Relationship Id="rId18" Type="http://schemas.openxmlformats.org/officeDocument/2006/relationships/hyperlink" Target="http://www.laraproject.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matureproject.eu/" TargetMode="External"/><Relationship Id="rId17" Type="http://schemas.openxmlformats.org/officeDocument/2006/relationships/hyperlink" Target="http://www.bia-net.org/en/lena.html" TargetMode="External"/><Relationship Id="rId2" Type="http://schemas.openxmlformats.org/officeDocument/2006/relationships/numbering" Target="numbering.xml"/><Relationship Id="rId16" Type="http://schemas.openxmlformats.org/officeDocument/2006/relationships/hyperlink" Target="http://www.bia-net.org/lisa" TargetMode="External"/><Relationship Id="rId20" Type="http://schemas.openxmlformats.org/officeDocument/2006/relationships/hyperlink" Target="http://www.foragenetwork.eu/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social/main.jsp?catId=738&amp;langId=en&amp;pubId=6805&amp;type=2&amp;furtherPubs=ye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atureproject.eu/links-2" TargetMode="External"/><Relationship Id="rId23" Type="http://schemas.openxmlformats.org/officeDocument/2006/relationships/fontTable" Target="fontTable.xml"/><Relationship Id="rId10" Type="http://schemas.openxmlformats.org/officeDocument/2006/relationships/hyperlink" Target="http://matureproject.eu/" TargetMode="External"/><Relationship Id="rId19" Type="http://schemas.openxmlformats.org/officeDocument/2006/relationships/hyperlink" Target="http://www.bia-net.org/en/eubia.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atureproject.eu/advice-bookle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73124-E28F-4EAD-8F8D-80FC055F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Swanton</dc:creator>
  <cp:lastModifiedBy>Pauline Swanton</cp:lastModifiedBy>
  <cp:revision>2</cp:revision>
  <dcterms:created xsi:type="dcterms:W3CDTF">2014-06-19T13:53:00Z</dcterms:created>
  <dcterms:modified xsi:type="dcterms:W3CDTF">2014-06-19T13:53:00Z</dcterms:modified>
</cp:coreProperties>
</file>