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57" w:rsidRPr="00A32C57" w:rsidRDefault="00A32C57" w:rsidP="00924195">
      <w:pPr>
        <w:autoSpaceDE w:val="0"/>
        <w:autoSpaceDN w:val="0"/>
        <w:adjustRightInd w:val="0"/>
        <w:spacing w:after="0" w:line="240" w:lineRule="auto"/>
        <w:jc w:val="both"/>
        <w:rPr>
          <w:b/>
        </w:rPr>
      </w:pPr>
      <w:r w:rsidRPr="00A32C57">
        <w:rPr>
          <w:b/>
        </w:rPr>
        <w:t>Introduction</w:t>
      </w:r>
    </w:p>
    <w:p w:rsidR="00A32C57" w:rsidRDefault="00A32C57" w:rsidP="00924195">
      <w:pPr>
        <w:autoSpaceDE w:val="0"/>
        <w:autoSpaceDN w:val="0"/>
        <w:adjustRightInd w:val="0"/>
        <w:spacing w:after="0" w:line="240" w:lineRule="auto"/>
        <w:jc w:val="both"/>
      </w:pPr>
      <w:r w:rsidRPr="008B62DE">
        <w:rPr>
          <w:i/>
        </w:rPr>
        <w:t>“Education is no longer a one-time event but a lifelong experience. Education should be less passive listening (no long lectures) and more active doing. Education should empower students to succeed not just in school but in life.”</w:t>
      </w:r>
      <w:r>
        <w:t xml:space="preserve"> </w:t>
      </w:r>
      <w:hyperlink r:id="rId6" w:history="1">
        <w:r w:rsidRPr="004A3634">
          <w:rPr>
            <w:rStyle w:val="Hyperlink"/>
          </w:rPr>
          <w:t>https://www.udacity.com/us</w:t>
        </w:r>
      </w:hyperlink>
    </w:p>
    <w:p w:rsidR="008B62DE" w:rsidRDefault="008B62DE" w:rsidP="00924195">
      <w:pPr>
        <w:autoSpaceDE w:val="0"/>
        <w:autoSpaceDN w:val="0"/>
        <w:adjustRightInd w:val="0"/>
        <w:spacing w:after="0" w:line="240" w:lineRule="auto"/>
        <w:jc w:val="both"/>
        <w:rPr>
          <w:i/>
        </w:rPr>
      </w:pPr>
    </w:p>
    <w:p w:rsidR="00A32C57" w:rsidRDefault="00A32C57" w:rsidP="00924195">
      <w:pPr>
        <w:autoSpaceDE w:val="0"/>
        <w:autoSpaceDN w:val="0"/>
        <w:adjustRightInd w:val="0"/>
        <w:spacing w:after="0" w:line="240" w:lineRule="auto"/>
        <w:jc w:val="both"/>
      </w:pPr>
      <w:r w:rsidRPr="008B62DE">
        <w:rPr>
          <w:i/>
        </w:rPr>
        <w:t>“New skills and knowledge makes you a more valuable employee, whether working for yourself, for an employer, or future employer. With today’s workplace changing faster than ever, it is essential everyone keeps learning new and updating old skills to remain or become competitive in the workplace. ALISON is for anyone taking their first step to a new or better job. ALISON is as individual as you are.”</w:t>
      </w:r>
      <w:r>
        <w:t xml:space="preserve"> </w:t>
      </w:r>
      <w:hyperlink r:id="rId7" w:history="1">
        <w:r w:rsidRPr="004A3634">
          <w:rPr>
            <w:rStyle w:val="Hyperlink"/>
          </w:rPr>
          <w:t>http://alison.com/subsection/?section=about</w:t>
        </w:r>
      </w:hyperlink>
    </w:p>
    <w:p w:rsidR="008B62DE" w:rsidRDefault="008B62DE" w:rsidP="00924195">
      <w:pPr>
        <w:spacing w:after="0" w:line="240" w:lineRule="auto"/>
        <w:jc w:val="both"/>
        <w:rPr>
          <w:i/>
        </w:rPr>
      </w:pPr>
    </w:p>
    <w:p w:rsidR="000C28BD" w:rsidRPr="00501B18" w:rsidRDefault="00CA1094" w:rsidP="00924195">
      <w:pPr>
        <w:spacing w:after="0" w:line="240" w:lineRule="auto"/>
        <w:jc w:val="both"/>
        <w:rPr>
          <w:b/>
        </w:rPr>
      </w:pPr>
      <w:r>
        <w:rPr>
          <w:b/>
        </w:rPr>
        <w:t>Two</w:t>
      </w:r>
      <w:r w:rsidR="0076377F">
        <w:rPr>
          <w:b/>
        </w:rPr>
        <w:t xml:space="preserve"> example definitions of MOOC</w:t>
      </w:r>
    </w:p>
    <w:p w:rsidR="00496B67" w:rsidRDefault="00525FD4" w:rsidP="00924195">
      <w:pPr>
        <w:spacing w:after="0" w:line="240" w:lineRule="auto"/>
        <w:jc w:val="both"/>
      </w:pPr>
      <w:r w:rsidRPr="00B37732">
        <w:tab/>
      </w:r>
      <w:r w:rsidR="00496B67" w:rsidRPr="00B37732">
        <w:t>“A m</w:t>
      </w:r>
      <w:r w:rsidR="00E20CA7">
        <w:t>assive open online course (MOOC</w:t>
      </w:r>
      <w:r w:rsidR="00496B67" w:rsidRPr="00B37732">
        <w:t>) is an online course aimed at unlimited participation and open access via the web. In addition to traditional course materials suc</w:t>
      </w:r>
      <w:r w:rsidR="00E20CA7">
        <w:t xml:space="preserve">h as filmed lectures, readings </w:t>
      </w:r>
      <w:r w:rsidR="00496B67" w:rsidRPr="00B37732">
        <w:t>and problem sets, many MOOCs provide interactive user forums to support community interactions between students, professors, and teaching assistants (TAs). MOOCs are a recent development in distance education which was first introduced in 2008 and emerged as a popular mode of learning in 2012.”</w:t>
      </w:r>
      <w:r w:rsidR="000C28BD" w:rsidRPr="00B37732">
        <w:t xml:space="preserve"> </w:t>
      </w:r>
      <w:r w:rsidR="00E20CA7">
        <w:t>[1]</w:t>
      </w:r>
    </w:p>
    <w:p w:rsidR="009F31D6" w:rsidRDefault="009064D8" w:rsidP="00924195">
      <w:pPr>
        <w:autoSpaceDE w:val="0"/>
        <w:autoSpaceDN w:val="0"/>
        <w:adjustRightInd w:val="0"/>
        <w:spacing w:after="0" w:line="240" w:lineRule="auto"/>
        <w:jc w:val="both"/>
      </w:pPr>
      <w:r w:rsidRPr="00B37732">
        <w:rPr>
          <w:rFonts w:cs="Calibri"/>
        </w:rPr>
        <w:tab/>
      </w:r>
      <w:r w:rsidR="00525FD4" w:rsidRPr="00B37732">
        <w:rPr>
          <w:rFonts w:cs="Calibri"/>
        </w:rPr>
        <w:t>“O</w:t>
      </w:r>
      <w:r w:rsidR="000C28BD" w:rsidRPr="00B37732">
        <w:rPr>
          <w:rFonts w:cs="Calibri"/>
        </w:rPr>
        <w:t xml:space="preserve">nline courses designed for large numbers </w:t>
      </w:r>
      <w:r w:rsidR="00E20CA7">
        <w:rPr>
          <w:rFonts w:cs="Calibri"/>
        </w:rPr>
        <w:t>of participants</w:t>
      </w:r>
      <w:r w:rsidR="000C28BD" w:rsidRPr="00B37732">
        <w:rPr>
          <w:rFonts w:cs="Calibri"/>
        </w:rPr>
        <w:t xml:space="preserve"> that can be accessed by anyone anywhere as long as they have an internet connection, are open to everyone without entry qualifications, and offer a full/complete course experience online for free”. </w:t>
      </w:r>
      <w:r w:rsidR="00525FD4" w:rsidRPr="00B37732">
        <w:rPr>
          <w:rFonts w:cs="Calibri"/>
        </w:rPr>
        <w:t>In Europe according to t</w:t>
      </w:r>
      <w:r w:rsidR="000C28BD" w:rsidRPr="00B37732">
        <w:rPr>
          <w:rFonts w:cs="Calibri"/>
        </w:rPr>
        <w:t xml:space="preserve">he results </w:t>
      </w:r>
      <w:r w:rsidR="00525FD4" w:rsidRPr="00B37732">
        <w:rPr>
          <w:rFonts w:cs="Calibri"/>
        </w:rPr>
        <w:t>of the</w:t>
      </w:r>
      <w:r w:rsidR="000C28BD" w:rsidRPr="00B37732">
        <w:rPr>
          <w:rFonts w:cs="Calibri"/>
        </w:rPr>
        <w:t xml:space="preserve"> survey </w:t>
      </w:r>
      <w:r w:rsidR="00525FD4" w:rsidRPr="00B37732">
        <w:rPr>
          <w:rFonts w:cs="Calibri"/>
        </w:rPr>
        <w:t xml:space="preserve">there is a strong </w:t>
      </w:r>
      <w:r w:rsidR="000C28BD" w:rsidRPr="00B37732">
        <w:rPr>
          <w:rFonts w:cs="Calibri"/>
        </w:rPr>
        <w:t xml:space="preserve">support </w:t>
      </w:r>
      <w:r w:rsidR="00525FD4" w:rsidRPr="00B37732">
        <w:rPr>
          <w:rFonts w:cs="Calibri"/>
        </w:rPr>
        <w:t xml:space="preserve">of </w:t>
      </w:r>
      <w:r w:rsidR="000C28BD" w:rsidRPr="00B37732">
        <w:rPr>
          <w:rFonts w:cs="Calibri"/>
        </w:rPr>
        <w:t>this definition</w:t>
      </w:r>
      <w:r w:rsidR="009F31D6" w:rsidRPr="009F31D6">
        <w:t xml:space="preserve"> </w:t>
      </w:r>
      <w:r w:rsidR="00E20CA7">
        <w:t>[2].</w:t>
      </w:r>
    </w:p>
    <w:p w:rsidR="00E20CA7" w:rsidRDefault="00E20CA7" w:rsidP="00924195">
      <w:pPr>
        <w:autoSpaceDE w:val="0"/>
        <w:autoSpaceDN w:val="0"/>
        <w:adjustRightInd w:val="0"/>
        <w:spacing w:after="0" w:line="240" w:lineRule="auto"/>
        <w:jc w:val="both"/>
        <w:rPr>
          <w:rFonts w:cs="Calibri"/>
          <w:b/>
        </w:rPr>
      </w:pPr>
    </w:p>
    <w:p w:rsidR="00525FD4" w:rsidRPr="00B37732" w:rsidRDefault="0076377F" w:rsidP="00924195">
      <w:pPr>
        <w:autoSpaceDE w:val="0"/>
        <w:autoSpaceDN w:val="0"/>
        <w:adjustRightInd w:val="0"/>
        <w:spacing w:after="0" w:line="240" w:lineRule="auto"/>
        <w:jc w:val="both"/>
        <w:rPr>
          <w:rFonts w:cs="Calibri"/>
          <w:b/>
        </w:rPr>
      </w:pPr>
      <w:r>
        <w:rPr>
          <w:rFonts w:cs="Calibri"/>
          <w:b/>
        </w:rPr>
        <w:t>The b</w:t>
      </w:r>
      <w:r w:rsidR="00014DEE">
        <w:rPr>
          <w:rFonts w:cs="Calibri"/>
          <w:b/>
        </w:rPr>
        <w:t>eginning of</w:t>
      </w:r>
      <w:r>
        <w:rPr>
          <w:rFonts w:cs="Calibri"/>
          <w:b/>
        </w:rPr>
        <w:t xml:space="preserve"> MOOCs</w:t>
      </w:r>
    </w:p>
    <w:p w:rsidR="00CA1094" w:rsidRDefault="00525FD4" w:rsidP="00924195">
      <w:pPr>
        <w:autoSpaceDE w:val="0"/>
        <w:autoSpaceDN w:val="0"/>
        <w:adjustRightInd w:val="0"/>
        <w:spacing w:after="0" w:line="240" w:lineRule="auto"/>
        <w:jc w:val="both"/>
        <w:rPr>
          <w:rFonts w:cs="Calibri"/>
        </w:rPr>
      </w:pPr>
      <w:r w:rsidRPr="00B37732">
        <w:rPr>
          <w:rFonts w:cs="Calibri"/>
        </w:rPr>
        <w:tab/>
        <w:t>Massive Open Online Courses (MOOCs)</w:t>
      </w:r>
      <w:r w:rsidR="00E87D09" w:rsidRPr="00B37732">
        <w:rPr>
          <w:rFonts w:cs="Calibri"/>
        </w:rPr>
        <w:t xml:space="preserve"> started in Canada and the US</w:t>
      </w:r>
      <w:r w:rsidR="00E87D09">
        <w:rPr>
          <w:rFonts w:cs="Calibri"/>
        </w:rPr>
        <w:t xml:space="preserve">. </w:t>
      </w:r>
      <w:proofErr w:type="gramStart"/>
      <w:r w:rsidR="00E87D09">
        <w:rPr>
          <w:rFonts w:cs="Calibri"/>
        </w:rPr>
        <w:t xml:space="preserve">They </w:t>
      </w:r>
      <w:r w:rsidRPr="00B37732">
        <w:rPr>
          <w:rFonts w:cs="Calibri"/>
        </w:rPr>
        <w:t xml:space="preserve"> have</w:t>
      </w:r>
      <w:proofErr w:type="gramEnd"/>
      <w:r w:rsidRPr="00B37732">
        <w:rPr>
          <w:rFonts w:cs="Calibri"/>
        </w:rPr>
        <w:t xml:space="preserve"> received considerable media coverage since the beginning of 2012.</w:t>
      </w:r>
      <w:r w:rsidR="00E87D09">
        <w:rPr>
          <w:rFonts w:cs="Calibri"/>
        </w:rPr>
        <w:t xml:space="preserve"> T</w:t>
      </w:r>
      <w:r w:rsidRPr="00B37732">
        <w:rPr>
          <w:rFonts w:cs="Calibri"/>
        </w:rPr>
        <w:t xml:space="preserve">heir rise </w:t>
      </w:r>
      <w:r w:rsidR="00E87D09">
        <w:rPr>
          <w:rFonts w:cs="Calibri"/>
        </w:rPr>
        <w:t>of recognition</w:t>
      </w:r>
      <w:r w:rsidRPr="00B37732">
        <w:rPr>
          <w:rFonts w:cs="Calibri"/>
        </w:rPr>
        <w:t xml:space="preserve"> was </w:t>
      </w:r>
      <w:r w:rsidR="00E87D09">
        <w:rPr>
          <w:rFonts w:cs="Calibri"/>
        </w:rPr>
        <w:t xml:space="preserve">supported by the well </w:t>
      </w:r>
      <w:proofErr w:type="gramStart"/>
      <w:r w:rsidR="00E87D09">
        <w:rPr>
          <w:rFonts w:cs="Calibri"/>
        </w:rPr>
        <w:t xml:space="preserve">know </w:t>
      </w:r>
      <w:r w:rsidRPr="00B37732">
        <w:rPr>
          <w:rFonts w:cs="Calibri"/>
        </w:rPr>
        <w:t xml:space="preserve"> service</w:t>
      </w:r>
      <w:proofErr w:type="gramEnd"/>
      <w:r w:rsidRPr="00B37732">
        <w:rPr>
          <w:rFonts w:cs="Calibri"/>
        </w:rPr>
        <w:t xml:space="preserve"> providers such as </w:t>
      </w:r>
      <w:proofErr w:type="spellStart"/>
      <w:r w:rsidRPr="00B37732">
        <w:rPr>
          <w:rFonts w:cs="Calibri"/>
        </w:rPr>
        <w:t>Udacity</w:t>
      </w:r>
      <w:proofErr w:type="spellEnd"/>
      <w:r w:rsidRPr="00B37732">
        <w:rPr>
          <w:rFonts w:cs="Calibri"/>
        </w:rPr>
        <w:t xml:space="preserve">, Coursera and </w:t>
      </w:r>
      <w:proofErr w:type="spellStart"/>
      <w:r w:rsidRPr="00B37732">
        <w:rPr>
          <w:rFonts w:cs="Calibri"/>
        </w:rPr>
        <w:t>Edx</w:t>
      </w:r>
      <w:proofErr w:type="spellEnd"/>
      <w:r w:rsidRPr="00B37732">
        <w:rPr>
          <w:rFonts w:cs="Calibri"/>
        </w:rPr>
        <w:t xml:space="preserve">. </w:t>
      </w:r>
    </w:p>
    <w:p w:rsidR="00525FD4" w:rsidRDefault="00CA1094" w:rsidP="00924195">
      <w:pPr>
        <w:autoSpaceDE w:val="0"/>
        <w:autoSpaceDN w:val="0"/>
        <w:adjustRightInd w:val="0"/>
        <w:spacing w:after="0" w:line="240" w:lineRule="auto"/>
        <w:jc w:val="both"/>
        <w:rPr>
          <w:rFonts w:cs="Calibri"/>
        </w:rPr>
      </w:pPr>
      <w:r>
        <w:rPr>
          <w:rFonts w:cs="Calibri"/>
        </w:rPr>
        <w:tab/>
      </w:r>
      <w:r w:rsidR="00E87D09">
        <w:rPr>
          <w:rFonts w:cs="Calibri"/>
        </w:rPr>
        <w:t xml:space="preserve">MOOCs </w:t>
      </w:r>
      <w:proofErr w:type="gramStart"/>
      <w:r w:rsidR="00E87D09">
        <w:rPr>
          <w:rFonts w:cs="Calibri"/>
        </w:rPr>
        <w:t xml:space="preserve">appeared </w:t>
      </w:r>
      <w:r w:rsidR="00525FD4" w:rsidRPr="00B37732">
        <w:rPr>
          <w:rFonts w:cs="Calibri"/>
        </w:rPr>
        <w:t xml:space="preserve"> in</w:t>
      </w:r>
      <w:proofErr w:type="gramEnd"/>
      <w:r w:rsidR="00525FD4" w:rsidRPr="00B37732">
        <w:rPr>
          <w:rFonts w:cs="Calibri"/>
        </w:rPr>
        <w:t xml:space="preserve"> Europe</w:t>
      </w:r>
      <w:r w:rsidR="00E87D09">
        <w:rPr>
          <w:rFonts w:cs="Calibri"/>
        </w:rPr>
        <w:t xml:space="preserve"> in 2013. They started</w:t>
      </w:r>
      <w:r w:rsidR="00525FD4" w:rsidRPr="00B37732">
        <w:rPr>
          <w:rFonts w:cs="Calibri"/>
        </w:rPr>
        <w:t xml:space="preserve"> with the pan-European initiative </w:t>
      </w:r>
      <w:proofErr w:type="spellStart"/>
      <w:r w:rsidR="00525FD4" w:rsidRPr="00B37732">
        <w:rPr>
          <w:rFonts w:cs="Calibri"/>
        </w:rPr>
        <w:t>OpenupEd</w:t>
      </w:r>
      <w:proofErr w:type="spellEnd"/>
      <w:r w:rsidR="00525FD4" w:rsidRPr="00B37732">
        <w:rPr>
          <w:rFonts w:cs="Calibri"/>
        </w:rPr>
        <w:t xml:space="preserve"> and different (regional) MOOC platforms </w:t>
      </w:r>
      <w:r w:rsidR="00E87D09">
        <w:rPr>
          <w:rFonts w:cs="Calibri"/>
        </w:rPr>
        <w:t>as</w:t>
      </w:r>
      <w:r w:rsidR="00525FD4" w:rsidRPr="00B37732">
        <w:rPr>
          <w:rFonts w:cs="Calibri"/>
        </w:rPr>
        <w:t xml:space="preserve"> </w:t>
      </w:r>
      <w:proofErr w:type="spellStart"/>
      <w:r w:rsidR="00525FD4" w:rsidRPr="00B37732">
        <w:rPr>
          <w:rFonts w:cs="Calibri"/>
        </w:rPr>
        <w:t>FutureLearn</w:t>
      </w:r>
      <w:proofErr w:type="spellEnd"/>
      <w:r w:rsidR="00525FD4" w:rsidRPr="00B37732">
        <w:rPr>
          <w:rFonts w:cs="Calibri"/>
        </w:rPr>
        <w:t xml:space="preserve">, </w:t>
      </w:r>
      <w:proofErr w:type="spellStart"/>
      <w:r w:rsidR="00525FD4" w:rsidRPr="00B37732">
        <w:rPr>
          <w:rFonts w:cs="Calibri"/>
        </w:rPr>
        <w:t>Ive</w:t>
      </w:r>
      <w:r w:rsidR="00E87D09">
        <w:rPr>
          <w:rFonts w:cs="Calibri"/>
        </w:rPr>
        <w:t>rsity</w:t>
      </w:r>
      <w:proofErr w:type="spellEnd"/>
      <w:r w:rsidR="00E87D09">
        <w:rPr>
          <w:rFonts w:cs="Calibri"/>
        </w:rPr>
        <w:t xml:space="preserve">, FUN, </w:t>
      </w:r>
      <w:proofErr w:type="spellStart"/>
      <w:r w:rsidR="00E87D09">
        <w:rPr>
          <w:rFonts w:cs="Calibri"/>
        </w:rPr>
        <w:t>UNEDcoma</w:t>
      </w:r>
      <w:proofErr w:type="spellEnd"/>
      <w:r w:rsidR="00E87D09">
        <w:rPr>
          <w:rFonts w:cs="Calibri"/>
        </w:rPr>
        <w:t xml:space="preserve">, </w:t>
      </w:r>
      <w:proofErr w:type="spellStart"/>
      <w:proofErr w:type="gramStart"/>
      <w:r w:rsidR="00E87D09">
        <w:rPr>
          <w:rFonts w:cs="Calibri"/>
        </w:rPr>
        <w:t>Miríada</w:t>
      </w:r>
      <w:proofErr w:type="spellEnd"/>
      <w:proofErr w:type="gramEnd"/>
      <w:r w:rsidR="00E87D09">
        <w:rPr>
          <w:rFonts w:cs="Calibri"/>
        </w:rPr>
        <w:t xml:space="preserve"> X</w:t>
      </w:r>
      <w:r w:rsidR="00525FD4" w:rsidRPr="00B37732">
        <w:rPr>
          <w:rFonts w:cs="Calibri"/>
        </w:rPr>
        <w:t xml:space="preserve">. </w:t>
      </w:r>
      <w:r w:rsidR="00E87D09">
        <w:rPr>
          <w:rFonts w:cs="Calibri"/>
        </w:rPr>
        <w:t xml:space="preserve"> </w:t>
      </w:r>
      <w:r w:rsidR="00525FD4" w:rsidRPr="00B37732">
        <w:rPr>
          <w:rFonts w:cs="Calibri"/>
        </w:rPr>
        <w:t xml:space="preserve">In September 2013, the European Commission launched the initiative Opening </w:t>
      </w:r>
      <w:proofErr w:type="gramStart"/>
      <w:r w:rsidR="00525FD4" w:rsidRPr="00B37732">
        <w:rPr>
          <w:rFonts w:cs="Calibri"/>
        </w:rPr>
        <w:t>Up</w:t>
      </w:r>
      <w:proofErr w:type="gramEnd"/>
      <w:r w:rsidR="00525FD4" w:rsidRPr="00B37732">
        <w:rPr>
          <w:rFonts w:cs="Calibri"/>
        </w:rPr>
        <w:t xml:space="preserve"> Education to further</w:t>
      </w:r>
      <w:r w:rsidR="00D06F72">
        <w:rPr>
          <w:rFonts w:cs="Calibri"/>
        </w:rPr>
        <w:t xml:space="preserve"> </w:t>
      </w:r>
      <w:r w:rsidR="00525FD4" w:rsidRPr="00B37732">
        <w:rPr>
          <w:rFonts w:cs="Calibri"/>
        </w:rPr>
        <w:t>enhance the uptake of Open Education in Europe (European Commission, 2013). Recently the</w:t>
      </w:r>
      <w:r w:rsidR="00D06F72">
        <w:rPr>
          <w:rFonts w:cs="Calibri"/>
        </w:rPr>
        <w:t xml:space="preserve"> </w:t>
      </w:r>
      <w:r w:rsidR="00525FD4" w:rsidRPr="00B37732">
        <w:rPr>
          <w:rFonts w:cs="Calibri"/>
        </w:rPr>
        <w:t>European Commission f</w:t>
      </w:r>
      <w:r w:rsidR="009064D8" w:rsidRPr="00B37732">
        <w:rPr>
          <w:rFonts w:cs="Calibri"/>
        </w:rPr>
        <w:t>u</w:t>
      </w:r>
      <w:r w:rsidR="00501B18">
        <w:rPr>
          <w:rFonts w:cs="Calibri"/>
        </w:rPr>
        <w:t xml:space="preserve">nded a number of MOOC projects for example </w:t>
      </w:r>
      <w:r w:rsidR="009064D8" w:rsidRPr="00B37732">
        <w:rPr>
          <w:rFonts w:cs="Calibri"/>
        </w:rPr>
        <w:t>EM</w:t>
      </w:r>
      <w:r w:rsidR="00501B18">
        <w:rPr>
          <w:rFonts w:cs="Calibri"/>
        </w:rPr>
        <w:t>MA</w:t>
      </w:r>
      <w:r w:rsidR="009064D8" w:rsidRPr="00B37732">
        <w:rPr>
          <w:rFonts w:cs="Calibri"/>
        </w:rPr>
        <w:t>.</w:t>
      </w:r>
    </w:p>
    <w:p w:rsidR="00182287" w:rsidRDefault="00182287" w:rsidP="00924195">
      <w:pPr>
        <w:spacing w:after="0" w:line="240" w:lineRule="auto"/>
        <w:jc w:val="both"/>
        <w:rPr>
          <w:b/>
        </w:rPr>
      </w:pPr>
    </w:p>
    <w:p w:rsidR="0071678F" w:rsidRDefault="00442D66" w:rsidP="00924195">
      <w:pPr>
        <w:spacing w:after="0" w:line="240" w:lineRule="auto"/>
        <w:jc w:val="both"/>
        <w:rPr>
          <w:b/>
        </w:rPr>
      </w:pPr>
      <w:r>
        <w:rPr>
          <w:b/>
        </w:rPr>
        <w:t xml:space="preserve">Example </w:t>
      </w:r>
      <w:r w:rsidR="000722E3">
        <w:rPr>
          <w:b/>
        </w:rPr>
        <w:t>results of s</w:t>
      </w:r>
      <w:r w:rsidR="00294DD8" w:rsidRPr="00B37732">
        <w:rPr>
          <w:b/>
        </w:rPr>
        <w:t>urveys</w:t>
      </w:r>
      <w:r w:rsidR="00D06F72">
        <w:rPr>
          <w:b/>
        </w:rPr>
        <w:t xml:space="preserve"> about MOOCs</w:t>
      </w:r>
    </w:p>
    <w:p w:rsidR="00A32C57" w:rsidRDefault="00A32C57" w:rsidP="00924195">
      <w:pPr>
        <w:autoSpaceDE w:val="0"/>
        <w:autoSpaceDN w:val="0"/>
        <w:adjustRightInd w:val="0"/>
        <w:spacing w:after="0" w:line="240" w:lineRule="auto"/>
        <w:jc w:val="both"/>
      </w:pPr>
      <w:r>
        <w:tab/>
      </w:r>
      <w:r w:rsidRPr="00B37732">
        <w:t xml:space="preserve">From July 24, 2012, through Sept. 21, 2014, an average of 1,300 new participants joined a </w:t>
      </w:r>
      <w:proofErr w:type="spellStart"/>
      <w:r w:rsidRPr="00B37732">
        <w:t>HarvardX</w:t>
      </w:r>
      <w:proofErr w:type="spellEnd"/>
      <w:r w:rsidRPr="00B37732">
        <w:t xml:space="preserve"> or </w:t>
      </w:r>
      <w:proofErr w:type="spellStart"/>
      <w:r w:rsidRPr="00B37732">
        <w:t>MITx</w:t>
      </w:r>
      <w:proofErr w:type="spellEnd"/>
      <w:r w:rsidRPr="00B37732">
        <w:t xml:space="preserve"> course each day, for a total of 1 million unique participants and 1.7 million total participants. With the increase in second and third versions of courses, the researchers found that participation in second versions declined by 43 percent, while there was stable participation between versions two and three. There were outliers, such as the </w:t>
      </w:r>
      <w:proofErr w:type="spellStart"/>
      <w:r w:rsidRPr="00B37732">
        <w:t>HarvardX</w:t>
      </w:r>
      <w:proofErr w:type="spellEnd"/>
      <w:r w:rsidRPr="00B37732">
        <w:t xml:space="preserve"> course CS50x (Introduction to Computer Science), which doubled in size, perhaps due to increased student flexibility: Students in this course could participate over a yearlong period at their own pace, and complete at any time.</w:t>
      </w:r>
      <w:r>
        <w:t xml:space="preserve"> To summarise the survey the following statements were formulated:</w:t>
      </w:r>
    </w:p>
    <w:p w:rsidR="00A32C57" w:rsidRPr="00000A56" w:rsidRDefault="00A32C57" w:rsidP="00924195">
      <w:pPr>
        <w:pStyle w:val="ListParagraph"/>
        <w:numPr>
          <w:ilvl w:val="0"/>
          <w:numId w:val="10"/>
        </w:numPr>
        <w:autoSpaceDE w:val="0"/>
        <w:autoSpaceDN w:val="0"/>
        <w:adjustRightInd w:val="0"/>
        <w:spacing w:after="0" w:line="240" w:lineRule="auto"/>
        <w:jc w:val="both"/>
      </w:pPr>
      <w:r w:rsidRPr="00000A56">
        <w:t>Participation in repeated courses has declined and then stabilized.</w:t>
      </w:r>
    </w:p>
    <w:p w:rsidR="00A32C57" w:rsidRDefault="00A32C57" w:rsidP="00924195">
      <w:pPr>
        <w:pStyle w:val="ListParagraph"/>
        <w:numPr>
          <w:ilvl w:val="0"/>
          <w:numId w:val="10"/>
        </w:numPr>
        <w:autoSpaceDE w:val="0"/>
        <w:autoSpaceDN w:val="0"/>
        <w:adjustRightInd w:val="0"/>
        <w:spacing w:after="0" w:line="240" w:lineRule="auto"/>
        <w:jc w:val="both"/>
      </w:pPr>
      <w:r w:rsidRPr="00000A56">
        <w:t>A slight majority of MOOC takers are seeking certification, and many participants are teachers.</w:t>
      </w:r>
    </w:p>
    <w:p w:rsidR="00A32C57" w:rsidRDefault="00A32C57" w:rsidP="00924195">
      <w:pPr>
        <w:pStyle w:val="ListParagraph"/>
        <w:numPr>
          <w:ilvl w:val="0"/>
          <w:numId w:val="10"/>
        </w:numPr>
        <w:autoSpaceDE w:val="0"/>
        <w:autoSpaceDN w:val="0"/>
        <w:adjustRightInd w:val="0"/>
        <w:spacing w:after="0" w:line="240" w:lineRule="auto"/>
        <w:jc w:val="both"/>
      </w:pPr>
      <w:r w:rsidRPr="00000A56">
        <w:t>Academic areas matter when it comes to participation, certification, and course networks.</w:t>
      </w:r>
    </w:p>
    <w:p w:rsidR="00A32C57" w:rsidRPr="00D43C99" w:rsidRDefault="00A32C57" w:rsidP="00924195">
      <w:pPr>
        <w:pStyle w:val="ListParagraph"/>
        <w:numPr>
          <w:ilvl w:val="0"/>
          <w:numId w:val="10"/>
        </w:numPr>
        <w:autoSpaceDE w:val="0"/>
        <w:autoSpaceDN w:val="0"/>
        <w:adjustRightInd w:val="0"/>
        <w:spacing w:after="0" w:line="240" w:lineRule="auto"/>
        <w:jc w:val="both"/>
      </w:pPr>
      <w:r w:rsidRPr="00D43C99">
        <w:t>Those opting for fee-based ID-verified certificates certify at higher rates.</w:t>
      </w:r>
    </w:p>
    <w:p w:rsidR="007D656C" w:rsidRDefault="007D656C" w:rsidP="00924195">
      <w:pPr>
        <w:autoSpaceDE w:val="0"/>
        <w:autoSpaceDN w:val="0"/>
        <w:adjustRightInd w:val="0"/>
        <w:spacing w:after="0" w:line="240" w:lineRule="auto"/>
        <w:jc w:val="both"/>
      </w:pPr>
      <w:r>
        <w:t xml:space="preserve">Hollands &amp; </w:t>
      </w:r>
      <w:proofErr w:type="spellStart"/>
      <w:r>
        <w:t>Tirthali</w:t>
      </w:r>
      <w:proofErr w:type="spellEnd"/>
      <w:r>
        <w:t xml:space="preserve"> (2014) reviewed literature and interviewed 83 individuals of 62 US institutions about MOOCs. They report a variety of institutional goals, which fell into one of six categories:</w:t>
      </w:r>
    </w:p>
    <w:p w:rsidR="007D656C" w:rsidRDefault="007D656C" w:rsidP="00924195">
      <w:pPr>
        <w:pStyle w:val="ListParagraph"/>
        <w:numPr>
          <w:ilvl w:val="0"/>
          <w:numId w:val="3"/>
        </w:numPr>
        <w:autoSpaceDE w:val="0"/>
        <w:autoSpaceDN w:val="0"/>
        <w:adjustRightInd w:val="0"/>
        <w:spacing w:after="0" w:line="240" w:lineRule="auto"/>
        <w:ind w:left="709" w:hanging="283"/>
        <w:jc w:val="both"/>
      </w:pPr>
      <w:r>
        <w:t>extending the reach of the institution and access to education</w:t>
      </w:r>
    </w:p>
    <w:p w:rsidR="007D656C" w:rsidRDefault="007D656C" w:rsidP="00924195">
      <w:pPr>
        <w:pStyle w:val="ListParagraph"/>
        <w:numPr>
          <w:ilvl w:val="0"/>
          <w:numId w:val="3"/>
        </w:numPr>
        <w:autoSpaceDE w:val="0"/>
        <w:autoSpaceDN w:val="0"/>
        <w:adjustRightInd w:val="0"/>
        <w:spacing w:after="0" w:line="240" w:lineRule="auto"/>
        <w:ind w:left="709" w:hanging="283"/>
        <w:jc w:val="both"/>
      </w:pPr>
      <w:r>
        <w:t>building and maintaining brand</w:t>
      </w:r>
    </w:p>
    <w:p w:rsidR="007D656C" w:rsidRDefault="007D656C" w:rsidP="00924195">
      <w:pPr>
        <w:pStyle w:val="ListParagraph"/>
        <w:numPr>
          <w:ilvl w:val="0"/>
          <w:numId w:val="3"/>
        </w:numPr>
        <w:autoSpaceDE w:val="0"/>
        <w:autoSpaceDN w:val="0"/>
        <w:adjustRightInd w:val="0"/>
        <w:spacing w:after="0" w:line="240" w:lineRule="auto"/>
        <w:ind w:left="709" w:hanging="283"/>
        <w:jc w:val="both"/>
      </w:pPr>
      <w:r>
        <w:t>improving economics by lowering costs or increasing revenues</w:t>
      </w:r>
    </w:p>
    <w:p w:rsidR="007D656C" w:rsidRDefault="007D656C" w:rsidP="00924195">
      <w:pPr>
        <w:pStyle w:val="ListParagraph"/>
        <w:numPr>
          <w:ilvl w:val="0"/>
          <w:numId w:val="3"/>
        </w:numPr>
        <w:autoSpaceDE w:val="0"/>
        <w:autoSpaceDN w:val="0"/>
        <w:adjustRightInd w:val="0"/>
        <w:spacing w:after="0" w:line="240" w:lineRule="auto"/>
        <w:ind w:left="709" w:hanging="283"/>
        <w:jc w:val="both"/>
      </w:pPr>
      <w:r>
        <w:lastRenderedPageBreak/>
        <w:t>improving educational outcomes for MOOC participants and on-campus students</w:t>
      </w:r>
    </w:p>
    <w:p w:rsidR="007D656C" w:rsidRDefault="007D656C" w:rsidP="00924195">
      <w:pPr>
        <w:pStyle w:val="ListParagraph"/>
        <w:numPr>
          <w:ilvl w:val="0"/>
          <w:numId w:val="3"/>
        </w:numPr>
        <w:autoSpaceDE w:val="0"/>
        <w:autoSpaceDN w:val="0"/>
        <w:adjustRightInd w:val="0"/>
        <w:spacing w:after="0" w:line="240" w:lineRule="auto"/>
        <w:ind w:left="709" w:hanging="283"/>
        <w:jc w:val="both"/>
      </w:pPr>
      <w:r>
        <w:t>innovation in teaching and learning</w:t>
      </w:r>
    </w:p>
    <w:p w:rsidR="007D656C" w:rsidRDefault="007D656C" w:rsidP="00924195">
      <w:pPr>
        <w:pStyle w:val="ListParagraph"/>
        <w:numPr>
          <w:ilvl w:val="0"/>
          <w:numId w:val="3"/>
        </w:numPr>
        <w:autoSpaceDE w:val="0"/>
        <w:autoSpaceDN w:val="0"/>
        <w:adjustRightInd w:val="0"/>
        <w:spacing w:after="0" w:line="240" w:lineRule="auto"/>
        <w:ind w:left="709" w:hanging="283"/>
        <w:jc w:val="both"/>
      </w:pPr>
      <w:r>
        <w:t>conducting research on teaching and learning</w:t>
      </w:r>
    </w:p>
    <w:p w:rsidR="00D65605" w:rsidRPr="009F31D6" w:rsidRDefault="00C43045" w:rsidP="00924195">
      <w:pPr>
        <w:autoSpaceDE w:val="0"/>
        <w:autoSpaceDN w:val="0"/>
        <w:adjustRightInd w:val="0"/>
        <w:spacing w:after="0" w:line="240" w:lineRule="auto"/>
        <w:jc w:val="both"/>
      </w:pPr>
      <w:r>
        <w:tab/>
      </w:r>
    </w:p>
    <w:p w:rsidR="00402F92" w:rsidRDefault="00402F92" w:rsidP="00924195">
      <w:pPr>
        <w:autoSpaceDE w:val="0"/>
        <w:autoSpaceDN w:val="0"/>
        <w:adjustRightInd w:val="0"/>
        <w:spacing w:after="0" w:line="240" w:lineRule="auto"/>
        <w:jc w:val="both"/>
        <w:rPr>
          <w:rFonts w:cs="Calibri"/>
          <w:b/>
        </w:rPr>
      </w:pPr>
      <w:r w:rsidRPr="00402F92">
        <w:rPr>
          <w:rFonts w:cs="Calibri"/>
          <w:b/>
        </w:rPr>
        <w:t>Recommended</w:t>
      </w:r>
      <w:r w:rsidR="006E3703">
        <w:rPr>
          <w:rFonts w:cs="Calibri"/>
          <w:b/>
        </w:rPr>
        <w:t xml:space="preserve"> links</w:t>
      </w:r>
    </w:p>
    <w:tbl>
      <w:tblPr>
        <w:tblStyle w:val="TableGrid"/>
        <w:tblW w:w="0" w:type="auto"/>
        <w:tblLook w:val="04A0" w:firstRow="1" w:lastRow="0" w:firstColumn="1" w:lastColumn="0" w:noHBand="0" w:noVBand="1"/>
      </w:tblPr>
      <w:tblGrid>
        <w:gridCol w:w="3227"/>
        <w:gridCol w:w="6061"/>
      </w:tblGrid>
      <w:tr w:rsidR="00A75A48" w:rsidTr="004A105A">
        <w:tc>
          <w:tcPr>
            <w:tcW w:w="3227" w:type="dxa"/>
          </w:tcPr>
          <w:p w:rsidR="00A75A48" w:rsidRDefault="00A75A48" w:rsidP="00924195">
            <w:pPr>
              <w:autoSpaceDE w:val="0"/>
              <w:autoSpaceDN w:val="0"/>
              <w:adjustRightInd w:val="0"/>
              <w:jc w:val="both"/>
              <w:rPr>
                <w:rFonts w:cs="Calibri"/>
                <w:b/>
              </w:rPr>
            </w:pPr>
            <w:r>
              <w:rPr>
                <w:rFonts w:cs="Calibri"/>
                <w:b/>
              </w:rPr>
              <w:t>Name</w:t>
            </w:r>
          </w:p>
        </w:tc>
        <w:tc>
          <w:tcPr>
            <w:tcW w:w="6061" w:type="dxa"/>
          </w:tcPr>
          <w:p w:rsidR="00A75A48" w:rsidRDefault="00A75A48" w:rsidP="00924195">
            <w:pPr>
              <w:autoSpaceDE w:val="0"/>
              <w:autoSpaceDN w:val="0"/>
              <w:adjustRightInd w:val="0"/>
              <w:jc w:val="both"/>
              <w:rPr>
                <w:rFonts w:cs="Calibri"/>
                <w:b/>
              </w:rPr>
            </w:pPr>
            <w:r>
              <w:rPr>
                <w:rFonts w:cs="Calibri"/>
                <w:b/>
              </w:rPr>
              <w:t>URL</w:t>
            </w:r>
          </w:p>
        </w:tc>
      </w:tr>
      <w:tr w:rsidR="00A75A48" w:rsidRPr="00A75A48" w:rsidTr="004A105A">
        <w:tc>
          <w:tcPr>
            <w:tcW w:w="3227" w:type="dxa"/>
          </w:tcPr>
          <w:p w:rsidR="00A75A48" w:rsidRPr="00A75A48" w:rsidRDefault="00A75A48" w:rsidP="00924195">
            <w:pPr>
              <w:autoSpaceDE w:val="0"/>
              <w:autoSpaceDN w:val="0"/>
              <w:adjustRightInd w:val="0"/>
              <w:jc w:val="both"/>
              <w:rPr>
                <w:rFonts w:cs="Calibri"/>
              </w:rPr>
            </w:pPr>
            <w:proofErr w:type="spellStart"/>
            <w:r w:rsidRPr="00A75A48">
              <w:rPr>
                <w:rFonts w:cs="Calibri"/>
              </w:rPr>
              <w:t>Udacity</w:t>
            </w:r>
            <w:proofErr w:type="spellEnd"/>
          </w:p>
        </w:tc>
        <w:tc>
          <w:tcPr>
            <w:tcW w:w="6061" w:type="dxa"/>
          </w:tcPr>
          <w:p w:rsidR="00A75A48" w:rsidRPr="00A75A48" w:rsidRDefault="00827C23" w:rsidP="00924195">
            <w:pPr>
              <w:autoSpaceDE w:val="0"/>
              <w:autoSpaceDN w:val="0"/>
              <w:adjustRightInd w:val="0"/>
              <w:jc w:val="both"/>
              <w:rPr>
                <w:rFonts w:cs="Calibri"/>
              </w:rPr>
            </w:pPr>
            <w:hyperlink r:id="rId8" w:history="1">
              <w:r w:rsidR="00A75A48" w:rsidRPr="004A3634">
                <w:rPr>
                  <w:rStyle w:val="Hyperlink"/>
                </w:rPr>
                <w:t>https://www.udacity.com/</w:t>
              </w:r>
            </w:hyperlink>
          </w:p>
        </w:tc>
      </w:tr>
      <w:tr w:rsidR="00A75A48" w:rsidRPr="00A75A48" w:rsidTr="004A105A">
        <w:tc>
          <w:tcPr>
            <w:tcW w:w="3227" w:type="dxa"/>
          </w:tcPr>
          <w:p w:rsidR="00A75A48" w:rsidRPr="00A75A48" w:rsidRDefault="00A75A48" w:rsidP="00924195">
            <w:pPr>
              <w:autoSpaceDE w:val="0"/>
              <w:autoSpaceDN w:val="0"/>
              <w:adjustRightInd w:val="0"/>
              <w:jc w:val="both"/>
              <w:rPr>
                <w:rFonts w:cs="Calibri"/>
              </w:rPr>
            </w:pPr>
            <w:r w:rsidRPr="00A75A48">
              <w:rPr>
                <w:rFonts w:cs="Calibri"/>
              </w:rPr>
              <w:t>Coursera</w:t>
            </w:r>
          </w:p>
        </w:tc>
        <w:tc>
          <w:tcPr>
            <w:tcW w:w="6061" w:type="dxa"/>
          </w:tcPr>
          <w:p w:rsidR="00A75A48" w:rsidRPr="00A75A48" w:rsidRDefault="00827C23" w:rsidP="00924195">
            <w:pPr>
              <w:autoSpaceDE w:val="0"/>
              <w:autoSpaceDN w:val="0"/>
              <w:adjustRightInd w:val="0"/>
              <w:jc w:val="both"/>
              <w:rPr>
                <w:rFonts w:cs="Calibri"/>
              </w:rPr>
            </w:pPr>
            <w:hyperlink r:id="rId9" w:tgtFrame="_blank" w:history="1">
              <w:r w:rsidR="00A75A48" w:rsidRPr="00A75A48">
                <w:rPr>
                  <w:rFonts w:eastAsia="Times New Roman" w:cs="Times New Roman"/>
                  <w:bCs/>
                  <w:color w:val="0000FF"/>
                  <w:u w:val="single"/>
                  <w:lang w:eastAsia="en-GB"/>
                </w:rPr>
                <w:t>http://coursera.org/</w:t>
              </w:r>
            </w:hyperlink>
          </w:p>
        </w:tc>
      </w:tr>
      <w:tr w:rsidR="00A75A48" w:rsidRPr="00A75A48" w:rsidTr="004A105A">
        <w:tc>
          <w:tcPr>
            <w:tcW w:w="3227" w:type="dxa"/>
          </w:tcPr>
          <w:p w:rsidR="00A75A48" w:rsidRPr="00A75A48" w:rsidRDefault="00A75A48" w:rsidP="00924195">
            <w:pPr>
              <w:autoSpaceDE w:val="0"/>
              <w:autoSpaceDN w:val="0"/>
              <w:adjustRightInd w:val="0"/>
              <w:jc w:val="both"/>
              <w:rPr>
                <w:rFonts w:cs="Calibri"/>
              </w:rPr>
            </w:pPr>
            <w:proofErr w:type="spellStart"/>
            <w:r w:rsidRPr="00A75A48">
              <w:rPr>
                <w:rFonts w:cs="Calibri"/>
              </w:rPr>
              <w:t>Edx</w:t>
            </w:r>
            <w:proofErr w:type="spellEnd"/>
          </w:p>
        </w:tc>
        <w:tc>
          <w:tcPr>
            <w:tcW w:w="6061" w:type="dxa"/>
          </w:tcPr>
          <w:p w:rsidR="00A75A48" w:rsidRPr="00A75A48" w:rsidRDefault="00827C23" w:rsidP="00924195">
            <w:pPr>
              <w:autoSpaceDE w:val="0"/>
              <w:autoSpaceDN w:val="0"/>
              <w:adjustRightInd w:val="0"/>
              <w:jc w:val="both"/>
              <w:rPr>
                <w:rFonts w:cs="Calibri"/>
              </w:rPr>
            </w:pPr>
            <w:hyperlink r:id="rId10" w:history="1">
              <w:r w:rsidR="00A75A48" w:rsidRPr="00A75A48">
                <w:rPr>
                  <w:rStyle w:val="Hyperlink"/>
                  <w:rFonts w:cs="Calibri"/>
                </w:rPr>
                <w:t>https://www.edx.org/</w:t>
              </w:r>
            </w:hyperlink>
          </w:p>
        </w:tc>
      </w:tr>
      <w:tr w:rsidR="00A75A48" w:rsidRPr="00A75A48" w:rsidTr="004A105A">
        <w:tc>
          <w:tcPr>
            <w:tcW w:w="3227" w:type="dxa"/>
          </w:tcPr>
          <w:p w:rsidR="00A75A48" w:rsidRPr="00A75A48" w:rsidRDefault="00F642BA" w:rsidP="00924195">
            <w:pPr>
              <w:autoSpaceDE w:val="0"/>
              <w:autoSpaceDN w:val="0"/>
              <w:adjustRightInd w:val="0"/>
              <w:jc w:val="both"/>
              <w:rPr>
                <w:rFonts w:cs="Calibri"/>
              </w:rPr>
            </w:pPr>
            <w:r>
              <w:t>M4T</w:t>
            </w:r>
          </w:p>
        </w:tc>
        <w:tc>
          <w:tcPr>
            <w:tcW w:w="6061" w:type="dxa"/>
          </w:tcPr>
          <w:p w:rsidR="00F642BA" w:rsidRPr="00A75A48" w:rsidRDefault="00827C23" w:rsidP="00924195">
            <w:pPr>
              <w:autoSpaceDE w:val="0"/>
              <w:autoSpaceDN w:val="0"/>
              <w:adjustRightInd w:val="0"/>
              <w:jc w:val="both"/>
            </w:pPr>
            <w:hyperlink r:id="rId11" w:history="1">
              <w:r w:rsidR="00F642BA" w:rsidRPr="004A3634">
                <w:rPr>
                  <w:rStyle w:val="Hyperlink"/>
                </w:rPr>
                <w:t>http://moodle4teachers.org/</w:t>
              </w:r>
            </w:hyperlink>
          </w:p>
        </w:tc>
      </w:tr>
      <w:tr w:rsidR="00A75A48" w:rsidRPr="00A75A48" w:rsidTr="004A105A">
        <w:tc>
          <w:tcPr>
            <w:tcW w:w="3227" w:type="dxa"/>
          </w:tcPr>
          <w:p w:rsidR="00A75A48" w:rsidRPr="00A75A48" w:rsidRDefault="00A75A48" w:rsidP="00924195">
            <w:pPr>
              <w:autoSpaceDE w:val="0"/>
              <w:autoSpaceDN w:val="0"/>
              <w:adjustRightInd w:val="0"/>
              <w:jc w:val="both"/>
              <w:rPr>
                <w:rFonts w:cs="Calibri"/>
              </w:rPr>
            </w:pPr>
            <w:r w:rsidRPr="00A75A48">
              <w:rPr>
                <w:rFonts w:cs="Calibri"/>
              </w:rPr>
              <w:t>EMMA</w:t>
            </w:r>
          </w:p>
        </w:tc>
        <w:tc>
          <w:tcPr>
            <w:tcW w:w="6061" w:type="dxa"/>
          </w:tcPr>
          <w:p w:rsidR="00A75A48" w:rsidRPr="00A75A48" w:rsidRDefault="00827C23" w:rsidP="00924195">
            <w:pPr>
              <w:autoSpaceDE w:val="0"/>
              <w:autoSpaceDN w:val="0"/>
              <w:adjustRightInd w:val="0"/>
              <w:jc w:val="both"/>
              <w:rPr>
                <w:rFonts w:cs="Calibri"/>
              </w:rPr>
            </w:pPr>
            <w:hyperlink r:id="rId12" w:tgtFrame="_blank" w:history="1">
              <w:r w:rsidR="00A75A48" w:rsidRPr="00A75A48">
                <w:rPr>
                  <w:rFonts w:eastAsia="Times New Roman" w:cs="Times New Roman"/>
                  <w:color w:val="0000FF"/>
                  <w:u w:val="single"/>
                  <w:lang w:eastAsia="en-GB"/>
                </w:rPr>
                <w:t>http://project.europeanmoocs.eu/</w:t>
              </w:r>
            </w:hyperlink>
          </w:p>
        </w:tc>
      </w:tr>
      <w:tr w:rsidR="00A75A48" w:rsidRPr="00A75A48" w:rsidTr="004A105A">
        <w:tc>
          <w:tcPr>
            <w:tcW w:w="3227" w:type="dxa"/>
          </w:tcPr>
          <w:p w:rsidR="00A75A48" w:rsidRPr="00A75A48" w:rsidRDefault="00A75A48" w:rsidP="00924195">
            <w:pPr>
              <w:autoSpaceDE w:val="0"/>
              <w:autoSpaceDN w:val="0"/>
              <w:adjustRightInd w:val="0"/>
              <w:jc w:val="both"/>
              <w:rPr>
                <w:rFonts w:cs="Calibri"/>
              </w:rPr>
            </w:pPr>
            <w:r w:rsidRPr="00A75A48">
              <w:rPr>
                <w:rFonts w:cs="Calibri"/>
              </w:rPr>
              <w:t>Alison</w:t>
            </w:r>
          </w:p>
        </w:tc>
        <w:tc>
          <w:tcPr>
            <w:tcW w:w="6061" w:type="dxa"/>
          </w:tcPr>
          <w:p w:rsidR="00A75A48" w:rsidRPr="00A75A48" w:rsidRDefault="00827C23" w:rsidP="00924195">
            <w:pPr>
              <w:autoSpaceDE w:val="0"/>
              <w:autoSpaceDN w:val="0"/>
              <w:adjustRightInd w:val="0"/>
              <w:jc w:val="both"/>
              <w:rPr>
                <w:rFonts w:cs="Calibri"/>
              </w:rPr>
            </w:pPr>
            <w:hyperlink r:id="rId13" w:history="1">
              <w:r w:rsidR="00A75A48" w:rsidRPr="00A75A48">
                <w:rPr>
                  <w:rStyle w:val="Hyperlink"/>
                  <w:rFonts w:cs="Calibri"/>
                </w:rPr>
                <w:t>http://alison.com/</w:t>
              </w:r>
            </w:hyperlink>
          </w:p>
        </w:tc>
      </w:tr>
      <w:tr w:rsidR="00A75A48" w:rsidRPr="00A75A48" w:rsidTr="004A105A">
        <w:tc>
          <w:tcPr>
            <w:tcW w:w="3227" w:type="dxa"/>
          </w:tcPr>
          <w:p w:rsidR="00A75A48" w:rsidRPr="00A75A48" w:rsidRDefault="00A75A48" w:rsidP="00924195">
            <w:pPr>
              <w:autoSpaceDE w:val="0"/>
              <w:autoSpaceDN w:val="0"/>
              <w:adjustRightInd w:val="0"/>
              <w:jc w:val="both"/>
              <w:rPr>
                <w:rFonts w:cs="Calibri"/>
              </w:rPr>
            </w:pPr>
            <w:r w:rsidRPr="00A75A48">
              <w:t>W3Schools</w:t>
            </w:r>
          </w:p>
        </w:tc>
        <w:tc>
          <w:tcPr>
            <w:tcW w:w="6061" w:type="dxa"/>
          </w:tcPr>
          <w:p w:rsidR="00A75A48" w:rsidRPr="00A75A48" w:rsidRDefault="00827C23" w:rsidP="00924195">
            <w:pPr>
              <w:autoSpaceDE w:val="0"/>
              <w:autoSpaceDN w:val="0"/>
              <w:adjustRightInd w:val="0"/>
              <w:jc w:val="both"/>
              <w:rPr>
                <w:rFonts w:cs="Calibri"/>
              </w:rPr>
            </w:pPr>
            <w:hyperlink r:id="rId14" w:tgtFrame="_blank" w:history="1">
              <w:r w:rsidR="00A75A48" w:rsidRPr="00A75A48">
                <w:rPr>
                  <w:rFonts w:eastAsia="Times New Roman" w:cs="Times New Roman"/>
                  <w:bCs/>
                  <w:color w:val="0000FF"/>
                  <w:u w:val="single"/>
                  <w:lang w:eastAsia="en-GB"/>
                </w:rPr>
                <w:t>http://www.w3schools.com/</w:t>
              </w:r>
            </w:hyperlink>
          </w:p>
        </w:tc>
      </w:tr>
      <w:tr w:rsidR="00A75A48" w:rsidRPr="00A75A48" w:rsidTr="004A105A">
        <w:tc>
          <w:tcPr>
            <w:tcW w:w="3227" w:type="dxa"/>
          </w:tcPr>
          <w:p w:rsidR="00A75A48" w:rsidRPr="00A75A48" w:rsidRDefault="00A75A48" w:rsidP="00924195">
            <w:pPr>
              <w:autoSpaceDE w:val="0"/>
              <w:autoSpaceDN w:val="0"/>
              <w:adjustRightInd w:val="0"/>
              <w:jc w:val="both"/>
              <w:rPr>
                <w:rFonts w:cs="Calibri"/>
              </w:rPr>
            </w:pPr>
            <w:r w:rsidRPr="00A75A48">
              <w:t>Neuronal Dynamics</w:t>
            </w:r>
          </w:p>
        </w:tc>
        <w:tc>
          <w:tcPr>
            <w:tcW w:w="6061" w:type="dxa"/>
          </w:tcPr>
          <w:p w:rsidR="00A75A48" w:rsidRPr="00A75A48" w:rsidRDefault="00A75A48" w:rsidP="00924195">
            <w:pPr>
              <w:autoSpaceDE w:val="0"/>
              <w:autoSpaceDN w:val="0"/>
              <w:adjustRightInd w:val="0"/>
              <w:jc w:val="both"/>
              <w:rPr>
                <w:rFonts w:cs="Calibri"/>
              </w:rPr>
            </w:pPr>
            <w:r w:rsidRPr="00A75A48">
              <w:rPr>
                <w:rFonts w:eastAsia="Times New Roman" w:cs="Times New Roman"/>
                <w:bCs/>
                <w:color w:val="0000FF"/>
                <w:u w:val="single"/>
                <w:lang w:eastAsia="en-GB"/>
              </w:rPr>
              <w:t>http://neuronaldynamics.epfl.ch/</w:t>
            </w:r>
          </w:p>
        </w:tc>
      </w:tr>
    </w:tbl>
    <w:p w:rsidR="00D21608" w:rsidRDefault="00D21608" w:rsidP="00D21608">
      <w:pPr>
        <w:spacing w:after="0" w:line="240" w:lineRule="auto"/>
        <w:jc w:val="both"/>
        <w:rPr>
          <w:i/>
        </w:rPr>
      </w:pPr>
    </w:p>
    <w:p w:rsidR="00D21608" w:rsidRPr="00D21608" w:rsidRDefault="00D21608" w:rsidP="00D21608">
      <w:pPr>
        <w:spacing w:after="0" w:line="240" w:lineRule="auto"/>
        <w:jc w:val="both"/>
        <w:rPr>
          <w:b/>
        </w:rPr>
      </w:pPr>
      <w:r w:rsidRPr="00D21608">
        <w:rPr>
          <w:b/>
        </w:rPr>
        <w:t>Summary</w:t>
      </w:r>
    </w:p>
    <w:p w:rsidR="00D21608" w:rsidRDefault="00D21608" w:rsidP="00D21608">
      <w:pPr>
        <w:spacing w:after="0" w:line="240" w:lineRule="auto"/>
        <w:jc w:val="both"/>
      </w:pPr>
      <w:r w:rsidRPr="00442D66">
        <w:t>MOOCs are a new</w:t>
      </w:r>
      <w:r w:rsidR="00442D66">
        <w:t xml:space="preserve"> form </w:t>
      </w:r>
      <w:r w:rsidR="00F65BC2">
        <w:t xml:space="preserve">which helps </w:t>
      </w:r>
      <w:r w:rsidR="00442D66">
        <w:t>to educate many people</w:t>
      </w:r>
      <w:r w:rsidR="00182287">
        <w:t xml:space="preserve"> and </w:t>
      </w:r>
      <w:r w:rsidRPr="00442D66">
        <w:t>provide a solution to th</w:t>
      </w:r>
      <w:r w:rsidR="00442D66">
        <w:t xml:space="preserve">e increasing need for </w:t>
      </w:r>
      <w:r w:rsidR="00F65BC2">
        <w:t xml:space="preserve">an </w:t>
      </w:r>
      <w:r w:rsidR="00442D66">
        <w:t>affordable</w:t>
      </w:r>
      <w:r w:rsidRPr="00442D66">
        <w:t xml:space="preserve"> higher education</w:t>
      </w:r>
      <w:r w:rsidR="00182287">
        <w:t>.</w:t>
      </w:r>
      <w:r w:rsidR="00442D66">
        <w:t xml:space="preserve"> </w:t>
      </w:r>
      <w:r w:rsidR="003F69DC">
        <w:t>By u</w:t>
      </w:r>
      <w:r w:rsidR="003F69DC" w:rsidRPr="00442D66">
        <w:t xml:space="preserve">sing ICT for digitalizing education content, </w:t>
      </w:r>
      <w:r w:rsidR="003F69DC">
        <w:t xml:space="preserve">enabling </w:t>
      </w:r>
      <w:r w:rsidR="003F69DC" w:rsidRPr="00442D66">
        <w:t>mass distributi</w:t>
      </w:r>
      <w:r w:rsidR="003F69DC">
        <w:t>on and personalized learning they also support reducing costs of education</w:t>
      </w:r>
      <w:r w:rsidR="003F69DC">
        <w:t xml:space="preserve">. </w:t>
      </w:r>
      <w:r w:rsidR="00442D66">
        <w:t>F</w:t>
      </w:r>
      <w:r w:rsidRPr="00442D66">
        <w:t xml:space="preserve">lexible, innovative learning approaches and </w:t>
      </w:r>
      <w:r w:rsidR="00442D66">
        <w:t xml:space="preserve">user friendly </w:t>
      </w:r>
      <w:r w:rsidRPr="00442D66">
        <w:t xml:space="preserve">delivery methods </w:t>
      </w:r>
      <w:r w:rsidR="009E0895">
        <w:t>could help to improve</w:t>
      </w:r>
      <w:r w:rsidRPr="00442D66">
        <w:t xml:space="preserve"> the quality and relevance of higher education. </w:t>
      </w:r>
      <w:r w:rsidR="003F69DC">
        <w:t>MOOCs</w:t>
      </w:r>
      <w:r w:rsidR="00182287">
        <w:t xml:space="preserve"> support </w:t>
      </w:r>
      <w:r w:rsidRPr="00442D66">
        <w:t>transversal competences, e-skills for the digital era, creativity and flexibility and</w:t>
      </w:r>
      <w:r w:rsidR="00182287">
        <w:t xml:space="preserve"> a solid understanding of the </w:t>
      </w:r>
      <w:r w:rsidR="003F69DC">
        <w:t>chosen field and finally they help finding jobs [</w:t>
      </w:r>
      <w:r w:rsidR="00E20CA7">
        <w:t>2</w:t>
      </w:r>
      <w:r w:rsidR="00442D66">
        <w:t>]</w:t>
      </w:r>
      <w:r w:rsidR="009E0895">
        <w:t>.</w:t>
      </w:r>
    </w:p>
    <w:p w:rsidR="009E0895" w:rsidRDefault="00E20CA7" w:rsidP="00D21608">
      <w:pPr>
        <w:spacing w:after="0" w:line="240" w:lineRule="auto"/>
        <w:jc w:val="both"/>
      </w:pPr>
      <w:r>
        <w:t>M</w:t>
      </w:r>
      <w:r w:rsidR="009E0895">
        <w:t xml:space="preserve">ore information regarding </w:t>
      </w:r>
      <w:r w:rsidR="009E0895" w:rsidRPr="009E0895">
        <w:t>massive open online courses (MOOCs) and other forms of ope</w:t>
      </w:r>
      <w:r>
        <w:t>n educational resources (OERs)</w:t>
      </w:r>
      <w:r w:rsidR="000A5474">
        <w:t xml:space="preserve"> can be found in [3</w:t>
      </w:r>
      <w:bookmarkStart w:id="0" w:name="_GoBack"/>
      <w:bookmarkEnd w:id="0"/>
      <w:r>
        <w:t>].</w:t>
      </w:r>
    </w:p>
    <w:p w:rsidR="003F69DC" w:rsidRPr="00442D66" w:rsidRDefault="003F69DC" w:rsidP="003F69DC">
      <w:pPr>
        <w:spacing w:after="0" w:line="240" w:lineRule="auto"/>
        <w:jc w:val="center"/>
      </w:pPr>
      <w:r>
        <w:rPr>
          <w:noProof/>
          <w:lang w:eastAsia="en-GB"/>
        </w:rPr>
        <w:drawing>
          <wp:inline distT="0" distB="0" distL="0" distR="0" wp14:anchorId="213667A8" wp14:editId="3F336DC0">
            <wp:extent cx="5006340" cy="2814962"/>
            <wp:effectExtent l="0" t="0" r="381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x-small.jpg"/>
                    <pic:cNvPicPr/>
                  </pic:nvPicPr>
                  <pic:blipFill>
                    <a:blip r:embed="rId15">
                      <a:extLst>
                        <a:ext uri="{28A0092B-C50C-407E-A947-70E740481C1C}">
                          <a14:useLocalDpi xmlns:a14="http://schemas.microsoft.com/office/drawing/2010/main" val="0"/>
                        </a:ext>
                      </a:extLst>
                    </a:blip>
                    <a:stretch>
                      <a:fillRect/>
                    </a:stretch>
                  </pic:blipFill>
                  <pic:spPr>
                    <a:xfrm>
                      <a:off x="0" y="0"/>
                      <a:ext cx="5007322" cy="2815514"/>
                    </a:xfrm>
                    <a:prstGeom prst="rect">
                      <a:avLst/>
                    </a:prstGeom>
                  </pic:spPr>
                </pic:pic>
              </a:graphicData>
            </a:graphic>
          </wp:inline>
        </w:drawing>
      </w:r>
    </w:p>
    <w:p w:rsidR="009E0895" w:rsidRDefault="009E0895" w:rsidP="00D21608">
      <w:pPr>
        <w:spacing w:after="0" w:line="240" w:lineRule="auto"/>
        <w:jc w:val="both"/>
      </w:pPr>
    </w:p>
    <w:p w:rsidR="009E0895" w:rsidRDefault="009E0895" w:rsidP="00D21608">
      <w:pPr>
        <w:spacing w:after="0" w:line="240" w:lineRule="auto"/>
        <w:jc w:val="both"/>
        <w:rPr>
          <w:b/>
        </w:rPr>
      </w:pPr>
      <w:r w:rsidRPr="009E0895">
        <w:rPr>
          <w:b/>
        </w:rPr>
        <w:t>Resources</w:t>
      </w:r>
    </w:p>
    <w:p w:rsidR="00E20CA7" w:rsidRDefault="00E20CA7" w:rsidP="00D21608">
      <w:pPr>
        <w:spacing w:after="0" w:line="240" w:lineRule="auto"/>
        <w:jc w:val="both"/>
        <w:rPr>
          <w:rStyle w:val="Hyperlink"/>
        </w:rPr>
      </w:pPr>
      <w:r w:rsidRPr="00E20CA7">
        <w:t xml:space="preserve">[1] </w:t>
      </w:r>
      <w:hyperlink r:id="rId16" w:history="1">
        <w:r w:rsidRPr="00E20CA7">
          <w:rPr>
            <w:rStyle w:val="Hyperlink"/>
          </w:rPr>
          <w:t>http://en.wikipedia.org/wiki/Massive_open_online_course</w:t>
        </w:r>
      </w:hyperlink>
      <w:r w:rsidR="003F69DC">
        <w:rPr>
          <w:rStyle w:val="Hyperlink"/>
        </w:rPr>
        <w:t xml:space="preserve">, </w:t>
      </w:r>
    </w:p>
    <w:p w:rsidR="009E0895" w:rsidRDefault="009E0895" w:rsidP="009E0895">
      <w:pPr>
        <w:spacing w:after="0" w:line="240" w:lineRule="auto"/>
      </w:pPr>
      <w:r>
        <w:t>[</w:t>
      </w:r>
      <w:r w:rsidR="00E20CA7">
        <w:t>2</w:t>
      </w:r>
      <w:r>
        <w:t xml:space="preserve">] </w:t>
      </w:r>
      <w:r w:rsidRPr="009E0895">
        <w:t>Institutional MOOC strategies in Europ</w:t>
      </w:r>
      <w:r>
        <w:t xml:space="preserve">e, </w:t>
      </w:r>
      <w:r>
        <w:t xml:space="preserve">Status report based on a mapping survey </w:t>
      </w:r>
    </w:p>
    <w:p w:rsidR="00D21608" w:rsidRDefault="009E0895" w:rsidP="009E0895">
      <w:pPr>
        <w:spacing w:after="0" w:line="240" w:lineRule="auto"/>
        <w:rPr>
          <w:rStyle w:val="Hyperlink"/>
        </w:rPr>
      </w:pPr>
      <w:proofErr w:type="gramStart"/>
      <w:r>
        <w:t>conducted</w:t>
      </w:r>
      <w:proofErr w:type="gramEnd"/>
      <w:r>
        <w:t xml:space="preserve"> in October -</w:t>
      </w:r>
      <w:r>
        <w:t xml:space="preserve"> </w:t>
      </w:r>
      <w:r>
        <w:t>December 2014</w:t>
      </w:r>
      <w:r>
        <w:t xml:space="preserve">, </w:t>
      </w:r>
      <w:r>
        <w:t>EADTU, February 2015</w:t>
      </w:r>
      <w:r>
        <w:t xml:space="preserve"> </w:t>
      </w:r>
      <w:hyperlink r:id="rId17" w:history="1">
        <w:r w:rsidR="00D21608" w:rsidRPr="009F31D6">
          <w:rPr>
            <w:rStyle w:val="Hyperlink"/>
          </w:rPr>
          <w:t>http://www.eadtu.eu/documents/Publications/OEenM/Institutional_MOOC_strategies_in_Europe.pdf</w:t>
        </w:r>
      </w:hyperlink>
    </w:p>
    <w:p w:rsidR="00A75A48" w:rsidRPr="003F69DC" w:rsidRDefault="009E0895" w:rsidP="003F69DC">
      <w:pPr>
        <w:autoSpaceDE w:val="0"/>
        <w:autoSpaceDN w:val="0"/>
        <w:adjustRightInd w:val="0"/>
        <w:spacing w:after="0" w:line="240" w:lineRule="auto"/>
      </w:pPr>
      <w:r>
        <w:t>[</w:t>
      </w:r>
      <w:r w:rsidR="00E20CA7">
        <w:t>3</w:t>
      </w:r>
      <w:r>
        <w:t xml:space="preserve">] </w:t>
      </w:r>
      <w:r w:rsidRPr="009E0895">
        <w:t>MOOCs and Open Education Around the World</w:t>
      </w:r>
      <w:r>
        <w:t>, e</w:t>
      </w:r>
      <w:r w:rsidRPr="009E0895">
        <w:t>dited by Curtis J. Bonk, Mimi M. Lee, Thomas C. Reeves, Thomas H. Reynolds</w:t>
      </w:r>
      <w:r>
        <w:t xml:space="preserve">, </w:t>
      </w:r>
      <w:r w:rsidRPr="009E0895">
        <w:t>MOOCs and Open Education Around the World Paperback – March 17, 2015</w:t>
      </w:r>
      <w:r>
        <w:t xml:space="preserve">, </w:t>
      </w:r>
      <w:hyperlink r:id="rId18" w:history="1">
        <w:r w:rsidRPr="009E0895">
          <w:rPr>
            <w:rStyle w:val="Hyperlink"/>
          </w:rPr>
          <w:t>http://openworldbooks.com/moocs-book.php</w:t>
        </w:r>
      </w:hyperlink>
    </w:p>
    <w:sectPr w:rsidR="00A75A48" w:rsidRPr="003F6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314"/>
    <w:multiLevelType w:val="hybridMultilevel"/>
    <w:tmpl w:val="B45A7656"/>
    <w:lvl w:ilvl="0" w:tplc="037868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9B2C65"/>
    <w:multiLevelType w:val="hybridMultilevel"/>
    <w:tmpl w:val="9ED84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43714F"/>
    <w:multiLevelType w:val="hybridMultilevel"/>
    <w:tmpl w:val="7242E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C70556"/>
    <w:multiLevelType w:val="hybridMultilevel"/>
    <w:tmpl w:val="AE7667EA"/>
    <w:lvl w:ilvl="0" w:tplc="177C70F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2C050EA"/>
    <w:multiLevelType w:val="hybridMultilevel"/>
    <w:tmpl w:val="EF22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AC5DC5"/>
    <w:multiLevelType w:val="hybridMultilevel"/>
    <w:tmpl w:val="CDC0C0EA"/>
    <w:lvl w:ilvl="0" w:tplc="177C70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B65ACD"/>
    <w:multiLevelType w:val="hybridMultilevel"/>
    <w:tmpl w:val="EA066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AF4347"/>
    <w:multiLevelType w:val="hybridMultilevel"/>
    <w:tmpl w:val="5C12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6D3C60"/>
    <w:multiLevelType w:val="hybridMultilevel"/>
    <w:tmpl w:val="BF8E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7F026B"/>
    <w:multiLevelType w:val="hybridMultilevel"/>
    <w:tmpl w:val="E52C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3E4A9A"/>
    <w:multiLevelType w:val="hybridMultilevel"/>
    <w:tmpl w:val="882EBE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F6512D"/>
    <w:multiLevelType w:val="hybridMultilevel"/>
    <w:tmpl w:val="FA9E2E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E046654"/>
    <w:multiLevelType w:val="hybridMultilevel"/>
    <w:tmpl w:val="E24C3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FE4FC1"/>
    <w:multiLevelType w:val="hybridMultilevel"/>
    <w:tmpl w:val="D854A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1D6DBC"/>
    <w:multiLevelType w:val="hybridMultilevel"/>
    <w:tmpl w:val="0714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1"/>
  </w:num>
  <w:num w:numId="4">
    <w:abstractNumId w:val="2"/>
  </w:num>
  <w:num w:numId="5">
    <w:abstractNumId w:val="1"/>
  </w:num>
  <w:num w:numId="6">
    <w:abstractNumId w:val="12"/>
  </w:num>
  <w:num w:numId="7">
    <w:abstractNumId w:val="4"/>
  </w:num>
  <w:num w:numId="8">
    <w:abstractNumId w:val="5"/>
  </w:num>
  <w:num w:numId="9">
    <w:abstractNumId w:val="3"/>
  </w:num>
  <w:num w:numId="10">
    <w:abstractNumId w:val="6"/>
  </w:num>
  <w:num w:numId="11">
    <w:abstractNumId w:val="8"/>
  </w:num>
  <w:num w:numId="12">
    <w:abstractNumId w:val="9"/>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67"/>
    <w:rsid w:val="00000A56"/>
    <w:rsid w:val="00014DEE"/>
    <w:rsid w:val="000722E3"/>
    <w:rsid w:val="000A5474"/>
    <w:rsid w:val="000C28BD"/>
    <w:rsid w:val="000C66D7"/>
    <w:rsid w:val="000E6ABD"/>
    <w:rsid w:val="001511BD"/>
    <w:rsid w:val="00182287"/>
    <w:rsid w:val="00294DD8"/>
    <w:rsid w:val="002B72CF"/>
    <w:rsid w:val="003F69DC"/>
    <w:rsid w:val="00402F92"/>
    <w:rsid w:val="00422189"/>
    <w:rsid w:val="00442D66"/>
    <w:rsid w:val="004474A9"/>
    <w:rsid w:val="004555E2"/>
    <w:rsid w:val="00496B67"/>
    <w:rsid w:val="004A105A"/>
    <w:rsid w:val="00501B18"/>
    <w:rsid w:val="00525FD4"/>
    <w:rsid w:val="00530EF6"/>
    <w:rsid w:val="00611636"/>
    <w:rsid w:val="006C47C5"/>
    <w:rsid w:val="006E3703"/>
    <w:rsid w:val="00715185"/>
    <w:rsid w:val="0071678F"/>
    <w:rsid w:val="0076377F"/>
    <w:rsid w:val="007D656C"/>
    <w:rsid w:val="0082751E"/>
    <w:rsid w:val="00827C23"/>
    <w:rsid w:val="008B62DE"/>
    <w:rsid w:val="009064D8"/>
    <w:rsid w:val="00924195"/>
    <w:rsid w:val="009E0895"/>
    <w:rsid w:val="009F31D6"/>
    <w:rsid w:val="00A32C57"/>
    <w:rsid w:val="00A75A48"/>
    <w:rsid w:val="00AB2DDE"/>
    <w:rsid w:val="00B37732"/>
    <w:rsid w:val="00BB3486"/>
    <w:rsid w:val="00BE1F36"/>
    <w:rsid w:val="00C43045"/>
    <w:rsid w:val="00CA1094"/>
    <w:rsid w:val="00D06F72"/>
    <w:rsid w:val="00D21608"/>
    <w:rsid w:val="00D43C99"/>
    <w:rsid w:val="00D5000B"/>
    <w:rsid w:val="00D65605"/>
    <w:rsid w:val="00E20CA7"/>
    <w:rsid w:val="00E87D09"/>
    <w:rsid w:val="00E94A48"/>
    <w:rsid w:val="00F30DAF"/>
    <w:rsid w:val="00F55910"/>
    <w:rsid w:val="00F642BA"/>
    <w:rsid w:val="00F65BC2"/>
    <w:rsid w:val="00FA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FD4"/>
    <w:rPr>
      <w:color w:val="0000FF"/>
      <w:u w:val="single"/>
    </w:rPr>
  </w:style>
  <w:style w:type="paragraph" w:styleId="ListParagraph">
    <w:name w:val="List Paragraph"/>
    <w:basedOn w:val="Normal"/>
    <w:uiPriority w:val="34"/>
    <w:qFormat/>
    <w:rsid w:val="007D656C"/>
    <w:pPr>
      <w:ind w:left="720"/>
      <w:contextualSpacing/>
    </w:pPr>
  </w:style>
  <w:style w:type="paragraph" w:styleId="BalloonText">
    <w:name w:val="Balloon Text"/>
    <w:basedOn w:val="Normal"/>
    <w:link w:val="BalloonTextChar"/>
    <w:uiPriority w:val="99"/>
    <w:semiHidden/>
    <w:unhideWhenUsed/>
    <w:rsid w:val="002B7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2CF"/>
    <w:rPr>
      <w:rFonts w:ascii="Tahoma" w:hAnsi="Tahoma" w:cs="Tahoma"/>
      <w:sz w:val="16"/>
      <w:szCs w:val="16"/>
    </w:rPr>
  </w:style>
  <w:style w:type="character" w:styleId="FollowedHyperlink">
    <w:name w:val="FollowedHyperlink"/>
    <w:basedOn w:val="DefaultParagraphFont"/>
    <w:uiPriority w:val="99"/>
    <w:semiHidden/>
    <w:unhideWhenUsed/>
    <w:rsid w:val="009F31D6"/>
    <w:rPr>
      <w:color w:val="800080" w:themeColor="followedHyperlink"/>
      <w:u w:val="single"/>
    </w:rPr>
  </w:style>
  <w:style w:type="table" w:styleId="TableGrid">
    <w:name w:val="Table Grid"/>
    <w:basedOn w:val="TableNormal"/>
    <w:uiPriority w:val="59"/>
    <w:rsid w:val="00A7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FD4"/>
    <w:rPr>
      <w:color w:val="0000FF"/>
      <w:u w:val="single"/>
    </w:rPr>
  </w:style>
  <w:style w:type="paragraph" w:styleId="ListParagraph">
    <w:name w:val="List Paragraph"/>
    <w:basedOn w:val="Normal"/>
    <w:uiPriority w:val="34"/>
    <w:qFormat/>
    <w:rsid w:val="007D656C"/>
    <w:pPr>
      <w:ind w:left="720"/>
      <w:contextualSpacing/>
    </w:pPr>
  </w:style>
  <w:style w:type="paragraph" w:styleId="BalloonText">
    <w:name w:val="Balloon Text"/>
    <w:basedOn w:val="Normal"/>
    <w:link w:val="BalloonTextChar"/>
    <w:uiPriority w:val="99"/>
    <w:semiHidden/>
    <w:unhideWhenUsed/>
    <w:rsid w:val="002B7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2CF"/>
    <w:rPr>
      <w:rFonts w:ascii="Tahoma" w:hAnsi="Tahoma" w:cs="Tahoma"/>
      <w:sz w:val="16"/>
      <w:szCs w:val="16"/>
    </w:rPr>
  </w:style>
  <w:style w:type="character" w:styleId="FollowedHyperlink">
    <w:name w:val="FollowedHyperlink"/>
    <w:basedOn w:val="DefaultParagraphFont"/>
    <w:uiPriority w:val="99"/>
    <w:semiHidden/>
    <w:unhideWhenUsed/>
    <w:rsid w:val="009F31D6"/>
    <w:rPr>
      <w:color w:val="800080" w:themeColor="followedHyperlink"/>
      <w:u w:val="single"/>
    </w:rPr>
  </w:style>
  <w:style w:type="table" w:styleId="TableGrid">
    <w:name w:val="Table Grid"/>
    <w:basedOn w:val="TableNormal"/>
    <w:uiPriority w:val="59"/>
    <w:rsid w:val="00A7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acity.com/" TargetMode="External"/><Relationship Id="rId13" Type="http://schemas.openxmlformats.org/officeDocument/2006/relationships/hyperlink" Target="http://alison.com/" TargetMode="External"/><Relationship Id="rId18" Type="http://schemas.openxmlformats.org/officeDocument/2006/relationships/hyperlink" Target="http://openworldbooks.com/moocs-book.php" TargetMode="External"/><Relationship Id="rId3" Type="http://schemas.microsoft.com/office/2007/relationships/stylesWithEffects" Target="stylesWithEffects.xml"/><Relationship Id="rId7" Type="http://schemas.openxmlformats.org/officeDocument/2006/relationships/hyperlink" Target="http://alison.com/subsection/?section=about" TargetMode="External"/><Relationship Id="rId12" Type="http://schemas.openxmlformats.org/officeDocument/2006/relationships/hyperlink" Target="http://project.europeanmoocs.eu/" TargetMode="External"/><Relationship Id="rId17" Type="http://schemas.openxmlformats.org/officeDocument/2006/relationships/hyperlink" Target="http://www.eadtu.eu/documents/Publications/OEenM/Institutional_MOOC_strategies_in_Europe.pdf" TargetMode="External"/><Relationship Id="rId2" Type="http://schemas.openxmlformats.org/officeDocument/2006/relationships/styles" Target="styles.xml"/><Relationship Id="rId16" Type="http://schemas.openxmlformats.org/officeDocument/2006/relationships/hyperlink" Target="http://en.wikipedia.org/wiki/Massive_open_online_cour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dacity.com/us" TargetMode="External"/><Relationship Id="rId11" Type="http://schemas.openxmlformats.org/officeDocument/2006/relationships/hyperlink" Target="http://moodle4teachers.org/"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www.edx.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ursera.org/" TargetMode="External"/><Relationship Id="rId14" Type="http://schemas.openxmlformats.org/officeDocument/2006/relationships/hyperlink" Target="http://www.w3school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5313</Characters>
  <Application>Microsoft Office Word</Application>
  <DocSecurity>0</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dc:creator>
  <cp:lastModifiedBy>anka</cp:lastModifiedBy>
  <cp:revision>2</cp:revision>
  <dcterms:created xsi:type="dcterms:W3CDTF">2015-04-26T11:04:00Z</dcterms:created>
  <dcterms:modified xsi:type="dcterms:W3CDTF">2015-04-26T11:04:00Z</dcterms:modified>
</cp:coreProperties>
</file>