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ED0F" w14:textId="77777777" w:rsidR="00CD7491" w:rsidRDefault="00CD7491" w:rsidP="00CD7491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3.3. Budowanie zaufania i ustalanie granic</w:t>
      </w:r>
    </w:p>
    <w:p w14:paraId="2EDB14C5" w14:textId="77777777" w:rsidR="00CD7491" w:rsidRDefault="00CD7491" w:rsidP="00CD74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już wspomniano, </w:t>
      </w:r>
      <w:r>
        <w:rPr>
          <w:b/>
          <w:sz w:val="24"/>
          <w:szCs w:val="24"/>
        </w:rPr>
        <w:t>zdobycie zaufania i wyznaczenie granic jest niezwykle ważne w relacji mentor – podopieczni</w:t>
      </w:r>
      <w:r>
        <w:rPr>
          <w:sz w:val="24"/>
          <w:szCs w:val="24"/>
        </w:rPr>
        <w:t>. Dzieje się to przez cały czas trwania relacji, ale zaczyna się już na etapie negocjacji, jak widzieliśmy powyżej. Dodatkowo, nie jest to rzecz jednokierunkowa, jak widzieliśmy w Modelu Umiejętności Mentorskich Philips-Jones (2003). Jest to raczej podstawowa umiejętność zarówno dla mentorów, jak i podopiecznych, a zatem oboje mają budować zaufanie do siebie nawzajem i oboje mają ustanawiać swoje własne granice.</w:t>
      </w:r>
    </w:p>
    <w:p w14:paraId="25B88583" w14:textId="77777777" w:rsidR="00CD7491" w:rsidRDefault="00CD7491" w:rsidP="00CD74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więc mentor i podopieczny mogą skutecznie zbudować zaufanie i ustalić granice? Ponieważ </w:t>
      </w:r>
      <w:r>
        <w:rPr>
          <w:b/>
          <w:sz w:val="24"/>
          <w:szCs w:val="24"/>
        </w:rPr>
        <w:t>respektowanie wyznaczonych granic jest jednym ze sposobów na zbudowanie zaufania</w:t>
      </w:r>
      <w:r>
        <w:rPr>
          <w:sz w:val="24"/>
          <w:szCs w:val="24"/>
        </w:rPr>
        <w:t>, skupimy się najpierw na wyznaczaniu granic.</w:t>
      </w:r>
    </w:p>
    <w:p w14:paraId="0870BECA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91"/>
    <w:rsid w:val="00027B7F"/>
    <w:rsid w:val="00CD7491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4793"/>
  <w15:chartTrackingRefBased/>
  <w15:docId w15:val="{3786D779-6739-4C9B-8ECD-1B71E8D7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91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CD7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7491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2023-02-12T09:13:00Z</dcterms:created>
  <dcterms:modified xsi:type="dcterms:W3CDTF">2023-02-12T09:13:00Z</dcterms:modified>
</cp:coreProperties>
</file>