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3CE5" w14:textId="77777777" w:rsidR="00463149" w:rsidRDefault="00463149" w:rsidP="00463149">
      <w:pPr>
        <w:pStyle w:val="Heading2"/>
        <w:rPr>
          <w:rFonts w:ascii="Calibri" w:eastAsia="Calibri" w:hAnsi="Calibri" w:cs="Calibri"/>
          <w:b w:val="0"/>
          <w:color w:val="2F5496"/>
          <w:sz w:val="26"/>
          <w:szCs w:val="26"/>
        </w:rPr>
      </w:pPr>
      <w:r>
        <w:rPr>
          <w:rFonts w:ascii="Calibri" w:eastAsia="Calibri" w:hAnsi="Calibri" w:cs="Calibri"/>
          <w:b w:val="0"/>
          <w:color w:val="2F5496"/>
          <w:sz w:val="26"/>
          <w:szCs w:val="26"/>
        </w:rPr>
        <w:t>6.4. Ochrona danych osobowych - GDPR</w:t>
      </w:r>
    </w:p>
    <w:p w14:paraId="491BD71C" w14:textId="77777777" w:rsidR="00463149" w:rsidRDefault="00463149" w:rsidP="00463149">
      <w:pPr>
        <w:spacing w:after="0" w:line="360" w:lineRule="auto"/>
        <w:jc w:val="both"/>
        <w:rPr>
          <w:sz w:val="24"/>
          <w:szCs w:val="24"/>
        </w:rPr>
      </w:pPr>
      <w:r>
        <w:rPr>
          <w:sz w:val="24"/>
          <w:szCs w:val="24"/>
        </w:rPr>
        <w:t>Wraz z ciągłym postępem technologicznym i ogromnym wzrostem korzystania z Internetu, pojęcie prywatności i ochrony danych jest tematem szeroko dyskutowanym. To dlatego,                     że dostawcy usług, którzy zarządzają stronami internetowymi, aplikacjami i platformami mediów społecznościowych często zbierają i przechowują dane osobowe użytkowników                      w celu zapewnienia odpowiednich usług, aby jak najlepiej dopasować się do preferencji każdego użytkownika. Zazwyczaj te firmy świadczące usługi cyfrowe są obciążone odpowiedzialnością za ochronę danych osobowych użytkowników przed nieuprawnionym dostępem i przed wszelkimi podatnościami. Jednak zdarzają się przypadki, w których platformy te nie umieszczają odpowiednio zabezpieczeń chroniących zebrane dane,                             co skutkuje naruszeniem danych i narażeniem wrażliwych danych użytkowników na kontakt          z nieupoważnionymi stronami, które mogą wykorzystać dane osobowe do wyłudzania                              i nękania użytkowników lub do wysyłania niechcianych reklam bez zgody użytkowników.              W ten sposób narusza się podstawowe prawo użytkowników do prywatności i swobody wypowiedzi.</w:t>
      </w:r>
    </w:p>
    <w:p w14:paraId="4C1836AC" w14:textId="77777777" w:rsidR="00463149" w:rsidRDefault="00463149" w:rsidP="00463149">
      <w:pPr>
        <w:spacing w:after="0" w:line="360" w:lineRule="auto"/>
        <w:jc w:val="both"/>
        <w:rPr>
          <w:sz w:val="24"/>
          <w:szCs w:val="24"/>
        </w:rPr>
      </w:pPr>
    </w:p>
    <w:p w14:paraId="57F634BB" w14:textId="77777777" w:rsidR="00463149" w:rsidRDefault="00463149" w:rsidP="00463149">
      <w:pPr>
        <w:spacing w:after="0" w:line="360" w:lineRule="auto"/>
        <w:jc w:val="both"/>
        <w:rPr>
          <w:sz w:val="24"/>
          <w:szCs w:val="24"/>
        </w:rPr>
      </w:pPr>
      <w:r>
        <w:rPr>
          <w:sz w:val="24"/>
          <w:szCs w:val="24"/>
        </w:rPr>
        <w:t xml:space="preserve">Ochrona danych osobowych jest powszechnie definiowana jako prawo mające na celu ochronę danych osobowych. </w:t>
      </w:r>
    </w:p>
    <w:p w14:paraId="1B51D861" w14:textId="77777777" w:rsidR="00463149" w:rsidRDefault="00463149" w:rsidP="00463149">
      <w:pPr>
        <w:spacing w:after="0" w:line="360" w:lineRule="auto"/>
        <w:jc w:val="both"/>
        <w:rPr>
          <w:sz w:val="24"/>
          <w:szCs w:val="24"/>
        </w:rPr>
      </w:pPr>
    </w:p>
    <w:tbl>
      <w:tblPr>
        <w:tblW w:w="9010" w:type="dxa"/>
        <w:tblLayout w:type="fixed"/>
        <w:tblLook w:val="0400" w:firstRow="0" w:lastRow="0" w:firstColumn="0" w:lastColumn="0" w:noHBand="0" w:noVBand="1"/>
      </w:tblPr>
      <w:tblGrid>
        <w:gridCol w:w="9010"/>
      </w:tblGrid>
      <w:tr w:rsidR="00463149" w14:paraId="7B0E30CC" w14:textId="77777777" w:rsidTr="00E549A6">
        <w:tc>
          <w:tcPr>
            <w:tcW w:w="9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6D10A" w14:textId="77777777" w:rsidR="00463149" w:rsidRDefault="00463149" w:rsidP="00E549A6">
            <w:pPr>
              <w:spacing w:after="120" w:line="360" w:lineRule="auto"/>
              <w:jc w:val="both"/>
              <w:rPr>
                <w:sz w:val="24"/>
                <w:szCs w:val="24"/>
              </w:rPr>
            </w:pPr>
            <w:r>
              <w:rPr>
                <w:b/>
                <w:color w:val="000000"/>
                <w:sz w:val="24"/>
                <w:szCs w:val="24"/>
              </w:rPr>
              <w:t xml:space="preserve">Ochrona danych osobowych: Prawo? </w:t>
            </w:r>
          </w:p>
          <w:p w14:paraId="0AEE3145" w14:textId="77777777" w:rsidR="00463149" w:rsidRDefault="00463149" w:rsidP="00E549A6">
            <w:pPr>
              <w:spacing w:after="120" w:line="360" w:lineRule="auto"/>
              <w:jc w:val="both"/>
              <w:rPr>
                <w:sz w:val="24"/>
                <w:szCs w:val="24"/>
              </w:rPr>
            </w:pPr>
            <w:r>
              <w:rPr>
                <w:color w:val="000000"/>
                <w:sz w:val="24"/>
                <w:szCs w:val="24"/>
              </w:rPr>
              <w:t xml:space="preserve">Ochrona danych osobowych </w:t>
            </w:r>
          </w:p>
          <w:p w14:paraId="6EE4E63A" w14:textId="77777777" w:rsidR="00463149" w:rsidRDefault="00463149" w:rsidP="00E549A6">
            <w:pPr>
              <w:spacing w:after="120" w:line="360" w:lineRule="auto"/>
              <w:jc w:val="both"/>
              <w:rPr>
                <w:sz w:val="24"/>
                <w:szCs w:val="24"/>
              </w:rPr>
            </w:pPr>
            <w:r>
              <w:rPr>
                <w:color w:val="000000"/>
                <w:sz w:val="24"/>
                <w:szCs w:val="24"/>
              </w:rPr>
              <w:t xml:space="preserve">1. Każdy ma prawo do ochrony dotyczących go danych osobowych. </w:t>
            </w:r>
          </w:p>
          <w:p w14:paraId="5E6127D2" w14:textId="77777777" w:rsidR="00463149" w:rsidRDefault="00463149" w:rsidP="00E549A6">
            <w:pPr>
              <w:spacing w:after="120" w:line="360" w:lineRule="auto"/>
              <w:jc w:val="both"/>
              <w:rPr>
                <w:sz w:val="24"/>
                <w:szCs w:val="24"/>
              </w:rPr>
            </w:pPr>
            <w:r>
              <w:rPr>
                <w:color w:val="000000"/>
                <w:sz w:val="24"/>
                <w:szCs w:val="24"/>
              </w:rPr>
              <w:t xml:space="preserve">2. Dane te muszą być przetwarzane rzetelnie w określonych celach i na podstawie zgody osoby zainteresowanej lub innej uzasadnionej podstawy przewidzianej prawem. Każdy ma prawo dostępu do zebranych danych, które go dotyczą, oraz prawo do ich sprostowania. </w:t>
            </w:r>
          </w:p>
          <w:p w14:paraId="50417ABB" w14:textId="77777777" w:rsidR="00463149" w:rsidRDefault="00463149" w:rsidP="00E549A6">
            <w:pPr>
              <w:spacing w:after="120" w:line="360" w:lineRule="auto"/>
              <w:jc w:val="both"/>
              <w:rPr>
                <w:sz w:val="24"/>
                <w:szCs w:val="24"/>
              </w:rPr>
            </w:pPr>
            <w:r>
              <w:rPr>
                <w:color w:val="000000"/>
                <w:sz w:val="24"/>
                <w:szCs w:val="24"/>
              </w:rPr>
              <w:t>3. Przestrzeganie tych zasad podlega kontroli niezależnego organu.</w:t>
            </w:r>
          </w:p>
        </w:tc>
      </w:tr>
    </w:tbl>
    <w:p w14:paraId="6A72EC48" w14:textId="77777777" w:rsidR="00463149" w:rsidRDefault="00463149" w:rsidP="00463149">
      <w:pPr>
        <w:spacing w:after="120" w:line="360" w:lineRule="auto"/>
        <w:jc w:val="both"/>
        <w:rPr>
          <w:color w:val="000000"/>
          <w:sz w:val="24"/>
          <w:szCs w:val="24"/>
        </w:rPr>
      </w:pPr>
    </w:p>
    <w:p w14:paraId="55DF6ED4" w14:textId="77777777" w:rsidR="00463149" w:rsidRDefault="00463149" w:rsidP="00463149">
      <w:pPr>
        <w:spacing w:after="120" w:line="360" w:lineRule="auto"/>
        <w:jc w:val="both"/>
        <w:rPr>
          <w:color w:val="000000"/>
          <w:sz w:val="24"/>
          <w:szCs w:val="24"/>
        </w:rPr>
      </w:pPr>
      <w:r>
        <w:rPr>
          <w:color w:val="000000"/>
          <w:sz w:val="24"/>
          <w:szCs w:val="24"/>
        </w:rPr>
        <w:t xml:space="preserve">Jako mentor będzie Pan/Pani prosić swoich podopiecznych o podanie pewnej ilości danych osobowych, które będą rejestrowane elektronicznie i przechowywane w bazie danych. Trzeba będzie poinformować podopiecznych, że informacje, które podadzą, to minimum niezbędne </w:t>
      </w:r>
      <w:r>
        <w:rPr>
          <w:color w:val="000000"/>
          <w:sz w:val="24"/>
          <w:szCs w:val="24"/>
        </w:rPr>
        <w:lastRenderedPageBreak/>
        <w:t>do udzielenia porady i wskazówek. Ostatecznie, podstawowym wymogiem etycznym poradnictwa jest to, że odbywa się ono w sposób bezpieczny i poufny (BACP, 2018, sekcja 55). Należy jednak zrozumieć, że "absolutne bezpieczeństwo w świecie cyfrowym nie istnieje" (BACP, 2019a, s. 6). Oznacza to, że mentorzy muszą podjąć kroki w celu maksymalizacji bezpieczeństwa, a tym samym poufności wszelkich danych pochodzących od klientów.</w:t>
      </w:r>
    </w:p>
    <w:p w14:paraId="77ABB1B3" w14:textId="77777777" w:rsidR="00463149" w:rsidRDefault="00463149" w:rsidP="00463149">
      <w:pPr>
        <w:spacing w:after="120" w:line="360" w:lineRule="auto"/>
        <w:jc w:val="both"/>
        <w:rPr>
          <w:color w:val="000000"/>
          <w:sz w:val="24"/>
          <w:szCs w:val="24"/>
        </w:rPr>
      </w:pPr>
      <w:r>
        <w:rPr>
          <w:sz w:val="24"/>
          <w:szCs w:val="24"/>
        </w:rPr>
        <w:t xml:space="preserve">Temat ochrony danych osobowych to chyba największe wyzwanie w wirtualnej wymianie.                 </w:t>
      </w:r>
      <w:r>
        <w:rPr>
          <w:color w:val="000000"/>
          <w:sz w:val="24"/>
          <w:szCs w:val="24"/>
        </w:rPr>
        <w:t>Od 25 maja 2018 roku ogólne rozporządzenie o ochronie danych (GDPR) reguluje przetwarzanie danych osobowych na terenie Unii Europejskiej. Prywatność danych może nie być Twoim ulubionym tematem, ale przestrzeganie przepisów jest niezwykle ważne. Zapewnienie optymalnej ochrony danych przez cały czas i możliwość wykazania tego poprzez udokumentowanie zgodności z przepisami stało się zatem jeszcze ważniejsze.</w:t>
      </w:r>
    </w:p>
    <w:p w14:paraId="10CD1571" w14:textId="77777777" w:rsidR="00463149" w:rsidRDefault="00463149" w:rsidP="00463149">
      <w:pPr>
        <w:spacing w:after="120" w:line="360" w:lineRule="auto"/>
        <w:jc w:val="both"/>
        <w:rPr>
          <w:color w:val="000000"/>
          <w:sz w:val="24"/>
          <w:szCs w:val="24"/>
        </w:rPr>
      </w:pPr>
      <w:r>
        <w:rPr>
          <w:color w:val="000000"/>
          <w:sz w:val="24"/>
          <w:szCs w:val="24"/>
        </w:rPr>
        <w:t>Dlatego ochrona danych osobowych ma podstawowe znaczenie i jest głównym celem Ogólnego Rozporządzenia o Ochronie Danych Unii Europejskiej (GDPR).</w:t>
      </w:r>
    </w:p>
    <w:p w14:paraId="26BC5BCE" w14:textId="77777777" w:rsidR="00463149" w:rsidRDefault="00463149" w:rsidP="00463149">
      <w:pPr>
        <w:spacing w:after="120" w:line="360" w:lineRule="auto"/>
        <w:jc w:val="both"/>
        <w:rPr>
          <w:color w:val="000000"/>
          <w:sz w:val="24"/>
          <w:szCs w:val="24"/>
        </w:rPr>
      </w:pPr>
      <w:r>
        <w:rPr>
          <w:color w:val="000000"/>
          <w:sz w:val="24"/>
          <w:szCs w:val="24"/>
        </w:rPr>
        <w:t xml:space="preserve">Sześć zasad GDPR (General Data </w:t>
      </w:r>
      <w:proofErr w:type="spellStart"/>
      <w:r>
        <w:rPr>
          <w:color w:val="000000"/>
          <w:sz w:val="24"/>
          <w:szCs w:val="24"/>
        </w:rPr>
        <w:t>Protection</w:t>
      </w:r>
      <w:proofErr w:type="spellEnd"/>
      <w:r>
        <w:rPr>
          <w:color w:val="000000"/>
          <w:sz w:val="24"/>
          <w:szCs w:val="24"/>
        </w:rPr>
        <w:t xml:space="preserve"> </w:t>
      </w:r>
      <w:proofErr w:type="spellStart"/>
      <w:r>
        <w:rPr>
          <w:color w:val="000000"/>
          <w:sz w:val="24"/>
          <w:szCs w:val="24"/>
        </w:rPr>
        <w:t>Regulations</w:t>
      </w:r>
      <w:proofErr w:type="spellEnd"/>
      <w:r>
        <w:rPr>
          <w:color w:val="000000"/>
          <w:sz w:val="24"/>
          <w:szCs w:val="24"/>
        </w:rPr>
        <w:t>) jest pod wieloma względami podobnych do ośmiu zasad ustawy o ochronie danych. Chociaż sześć zasad GDPR nie obejmuje praw osób fizycznych ani przekazywania danych za granicę, są one uwzględnione                    w innych miejscach GDPR.</w:t>
      </w:r>
    </w:p>
    <w:p w14:paraId="231AB9D1" w14:textId="77777777" w:rsidR="00463149" w:rsidRDefault="00463149" w:rsidP="00463149">
      <w:pPr>
        <w:spacing w:after="120" w:line="360" w:lineRule="auto"/>
        <w:jc w:val="both"/>
        <w:rPr>
          <w:color w:val="000000"/>
          <w:sz w:val="24"/>
          <w:szCs w:val="24"/>
        </w:rPr>
      </w:pPr>
      <w:r>
        <w:rPr>
          <w:color w:val="000000"/>
          <w:sz w:val="24"/>
          <w:szCs w:val="24"/>
        </w:rPr>
        <w:t>Jedną z kluczowych różnic jest to, że zgodnie z GDPR musisz pokazać, w jaki sposób przestrzegasz zasad, a nie tylko, że to robisz. Jest to osobny wymóg znany jako zasada rozliczalności, która jest zintegrowana w całym GDPR.</w:t>
      </w:r>
    </w:p>
    <w:p w14:paraId="53574172" w14:textId="77777777" w:rsidR="00463149" w:rsidRDefault="00463149" w:rsidP="00463149">
      <w:pPr>
        <w:spacing w:after="120" w:line="360" w:lineRule="auto"/>
        <w:jc w:val="both"/>
        <w:rPr>
          <w:color w:val="000000"/>
          <w:sz w:val="24"/>
          <w:szCs w:val="24"/>
        </w:rPr>
      </w:pPr>
      <w:r>
        <w:rPr>
          <w:color w:val="000000"/>
          <w:sz w:val="24"/>
          <w:szCs w:val="24"/>
        </w:rPr>
        <w:br/>
        <w:t xml:space="preserve"> GDPR: Zrozumienie 6 zasad ochrony danych:</w:t>
      </w:r>
    </w:p>
    <w:p w14:paraId="557686EF" w14:textId="77777777" w:rsidR="00463149" w:rsidRDefault="00463149" w:rsidP="00463149">
      <w:pPr>
        <w:numPr>
          <w:ilvl w:val="0"/>
          <w:numId w:val="1"/>
        </w:numPr>
        <w:spacing w:after="0" w:line="360" w:lineRule="auto"/>
        <w:jc w:val="both"/>
        <w:rPr>
          <w:color w:val="000000"/>
          <w:sz w:val="24"/>
          <w:szCs w:val="24"/>
        </w:rPr>
      </w:pPr>
      <w:r>
        <w:rPr>
          <w:color w:val="000000"/>
          <w:sz w:val="24"/>
          <w:szCs w:val="24"/>
        </w:rPr>
        <w:t xml:space="preserve">Praworządność, uczciwość i przejrzystość. </w:t>
      </w:r>
    </w:p>
    <w:p w14:paraId="3F235478" w14:textId="77777777" w:rsidR="00463149" w:rsidRDefault="00463149" w:rsidP="00463149">
      <w:pPr>
        <w:numPr>
          <w:ilvl w:val="0"/>
          <w:numId w:val="1"/>
        </w:numPr>
        <w:spacing w:after="0" w:line="360" w:lineRule="auto"/>
        <w:jc w:val="both"/>
        <w:rPr>
          <w:color w:val="000000"/>
          <w:sz w:val="24"/>
          <w:szCs w:val="24"/>
        </w:rPr>
      </w:pPr>
      <w:r>
        <w:rPr>
          <w:color w:val="000000"/>
          <w:sz w:val="24"/>
          <w:szCs w:val="24"/>
        </w:rPr>
        <w:t xml:space="preserve">Ograniczenie celu. </w:t>
      </w:r>
    </w:p>
    <w:p w14:paraId="496C4AAC" w14:textId="77777777" w:rsidR="00463149" w:rsidRDefault="00463149" w:rsidP="00463149">
      <w:pPr>
        <w:numPr>
          <w:ilvl w:val="0"/>
          <w:numId w:val="1"/>
        </w:numPr>
        <w:spacing w:after="0" w:line="360" w:lineRule="auto"/>
        <w:jc w:val="both"/>
        <w:rPr>
          <w:color w:val="000000"/>
          <w:sz w:val="24"/>
          <w:szCs w:val="24"/>
        </w:rPr>
      </w:pPr>
      <w:r>
        <w:rPr>
          <w:color w:val="000000"/>
          <w:sz w:val="24"/>
          <w:szCs w:val="24"/>
        </w:rPr>
        <w:t>Minimalizacja danych.</w:t>
      </w:r>
    </w:p>
    <w:p w14:paraId="5A798279" w14:textId="77777777" w:rsidR="00463149" w:rsidRDefault="00463149" w:rsidP="00463149">
      <w:pPr>
        <w:numPr>
          <w:ilvl w:val="0"/>
          <w:numId w:val="1"/>
        </w:numPr>
        <w:spacing w:after="0" w:line="360" w:lineRule="auto"/>
        <w:jc w:val="both"/>
        <w:rPr>
          <w:color w:val="000000"/>
          <w:sz w:val="24"/>
          <w:szCs w:val="24"/>
        </w:rPr>
      </w:pPr>
      <w:r>
        <w:rPr>
          <w:color w:val="000000"/>
          <w:sz w:val="24"/>
          <w:szCs w:val="24"/>
        </w:rPr>
        <w:t xml:space="preserve">Dokładność. </w:t>
      </w:r>
    </w:p>
    <w:p w14:paraId="028F3B92" w14:textId="77777777" w:rsidR="00463149" w:rsidRDefault="00463149" w:rsidP="00463149">
      <w:pPr>
        <w:numPr>
          <w:ilvl w:val="0"/>
          <w:numId w:val="1"/>
        </w:numPr>
        <w:spacing w:after="0" w:line="360" w:lineRule="auto"/>
        <w:jc w:val="both"/>
        <w:rPr>
          <w:color w:val="000000"/>
          <w:sz w:val="24"/>
          <w:szCs w:val="24"/>
        </w:rPr>
      </w:pPr>
      <w:r>
        <w:rPr>
          <w:color w:val="000000"/>
          <w:sz w:val="24"/>
          <w:szCs w:val="24"/>
        </w:rPr>
        <w:t xml:space="preserve">Ograniczenie przechowywania. </w:t>
      </w:r>
    </w:p>
    <w:p w14:paraId="4BECFAD3" w14:textId="77777777" w:rsidR="00463149" w:rsidRDefault="00463149" w:rsidP="00463149">
      <w:pPr>
        <w:numPr>
          <w:ilvl w:val="0"/>
          <w:numId w:val="1"/>
        </w:numPr>
        <w:spacing w:after="0" w:line="360" w:lineRule="auto"/>
        <w:jc w:val="both"/>
        <w:rPr>
          <w:color w:val="000000"/>
          <w:sz w:val="24"/>
          <w:szCs w:val="24"/>
        </w:rPr>
      </w:pPr>
      <w:r>
        <w:rPr>
          <w:color w:val="000000"/>
          <w:sz w:val="24"/>
          <w:szCs w:val="24"/>
        </w:rPr>
        <w:t>Integralność i poufność (bezpieczeństwo).</w:t>
      </w:r>
    </w:p>
    <w:p w14:paraId="5D5F3FA1" w14:textId="77777777" w:rsidR="00463149" w:rsidRDefault="00463149" w:rsidP="00463149">
      <w:pPr>
        <w:numPr>
          <w:ilvl w:val="0"/>
          <w:numId w:val="1"/>
        </w:numPr>
        <w:spacing w:after="0" w:line="360" w:lineRule="auto"/>
        <w:jc w:val="both"/>
        <w:rPr>
          <w:color w:val="000000"/>
          <w:sz w:val="24"/>
          <w:szCs w:val="24"/>
        </w:rPr>
      </w:pPr>
      <w:r>
        <w:rPr>
          <w:color w:val="000000"/>
          <w:sz w:val="24"/>
          <w:szCs w:val="24"/>
        </w:rPr>
        <w:t>Ramy etyczne dla zawodów doradczych</w:t>
      </w:r>
    </w:p>
    <w:p w14:paraId="2A18DF34" w14:textId="77777777" w:rsidR="00463149" w:rsidRDefault="00463149" w:rsidP="00463149">
      <w:pPr>
        <w:spacing w:after="120" w:line="360" w:lineRule="auto"/>
        <w:jc w:val="both"/>
        <w:rPr>
          <w:color w:val="000000"/>
          <w:sz w:val="24"/>
          <w:szCs w:val="24"/>
        </w:rPr>
      </w:pPr>
      <w:r>
        <w:rPr>
          <w:color w:val="000000"/>
          <w:sz w:val="24"/>
          <w:szCs w:val="24"/>
        </w:rPr>
        <w:lastRenderedPageBreak/>
        <w:t xml:space="preserve">Wartości są użytecznym sposobem wyrażania ogólnych zobowiązań etycznych, które leżą                   u podstaw celu i zadań naszych działań. </w:t>
      </w:r>
    </w:p>
    <w:p w14:paraId="17378DF5" w14:textId="77777777" w:rsidR="00463149" w:rsidRDefault="00463149" w:rsidP="00463149">
      <w:pPr>
        <w:spacing w:line="360" w:lineRule="auto"/>
        <w:jc w:val="both"/>
        <w:rPr>
          <w:color w:val="000000"/>
          <w:sz w:val="24"/>
          <w:szCs w:val="24"/>
        </w:rPr>
      </w:pPr>
      <w:r>
        <w:rPr>
          <w:color w:val="000000"/>
          <w:sz w:val="24"/>
          <w:szCs w:val="24"/>
        </w:rPr>
        <w:t xml:space="preserve">Do podstawowych wartości należy zaliczyć zobowiązanie do: </w:t>
      </w:r>
    </w:p>
    <w:p w14:paraId="494DAF18" w14:textId="77777777" w:rsidR="00463149" w:rsidRDefault="00463149" w:rsidP="00463149">
      <w:pPr>
        <w:numPr>
          <w:ilvl w:val="0"/>
          <w:numId w:val="2"/>
        </w:numPr>
        <w:spacing w:after="0" w:line="360" w:lineRule="auto"/>
        <w:jc w:val="both"/>
        <w:rPr>
          <w:color w:val="000000"/>
          <w:sz w:val="24"/>
          <w:szCs w:val="24"/>
        </w:rPr>
      </w:pPr>
      <w:r>
        <w:rPr>
          <w:color w:val="000000"/>
          <w:sz w:val="24"/>
          <w:szCs w:val="24"/>
        </w:rPr>
        <w:t xml:space="preserve">Poszanowanie praw i godności człowieka </w:t>
      </w:r>
    </w:p>
    <w:p w14:paraId="4443034F" w14:textId="77777777" w:rsidR="00463149" w:rsidRDefault="00463149" w:rsidP="00463149">
      <w:pPr>
        <w:numPr>
          <w:ilvl w:val="0"/>
          <w:numId w:val="2"/>
        </w:numPr>
        <w:spacing w:after="0" w:line="360" w:lineRule="auto"/>
        <w:jc w:val="both"/>
        <w:rPr>
          <w:color w:val="000000"/>
          <w:sz w:val="24"/>
          <w:szCs w:val="24"/>
        </w:rPr>
      </w:pPr>
      <w:r>
        <w:rPr>
          <w:color w:val="000000"/>
          <w:sz w:val="24"/>
          <w:szCs w:val="24"/>
        </w:rPr>
        <w:t xml:space="preserve">Zwiększanie dobrostanu i możliwości ludzi </w:t>
      </w:r>
    </w:p>
    <w:p w14:paraId="59E2D480" w14:textId="77777777" w:rsidR="00463149" w:rsidRDefault="00463149" w:rsidP="00463149">
      <w:pPr>
        <w:numPr>
          <w:ilvl w:val="0"/>
          <w:numId w:val="2"/>
        </w:numPr>
        <w:spacing w:after="0" w:line="360" w:lineRule="auto"/>
        <w:jc w:val="both"/>
        <w:rPr>
          <w:color w:val="000000"/>
          <w:sz w:val="24"/>
          <w:szCs w:val="24"/>
        </w:rPr>
      </w:pPr>
      <w:r>
        <w:rPr>
          <w:color w:val="000000"/>
          <w:sz w:val="24"/>
          <w:szCs w:val="24"/>
        </w:rPr>
        <w:t xml:space="preserve"> Poprawa jakości relacji między ludźmi </w:t>
      </w:r>
    </w:p>
    <w:p w14:paraId="6DFF146E" w14:textId="77777777" w:rsidR="00463149" w:rsidRDefault="00463149" w:rsidP="00463149">
      <w:pPr>
        <w:numPr>
          <w:ilvl w:val="0"/>
          <w:numId w:val="2"/>
        </w:numPr>
        <w:spacing w:after="0" w:line="360" w:lineRule="auto"/>
        <w:jc w:val="both"/>
        <w:rPr>
          <w:color w:val="000000"/>
          <w:sz w:val="24"/>
          <w:szCs w:val="24"/>
        </w:rPr>
      </w:pPr>
      <w:r>
        <w:rPr>
          <w:color w:val="000000"/>
          <w:sz w:val="24"/>
          <w:szCs w:val="24"/>
        </w:rPr>
        <w:t xml:space="preserve"> Zwiększenie odporności osobistej i skuteczności </w:t>
      </w:r>
    </w:p>
    <w:p w14:paraId="6DBFA94F" w14:textId="77777777" w:rsidR="00463149" w:rsidRDefault="00463149" w:rsidP="00463149">
      <w:pPr>
        <w:numPr>
          <w:ilvl w:val="0"/>
          <w:numId w:val="2"/>
        </w:numPr>
        <w:spacing w:after="0" w:line="360" w:lineRule="auto"/>
        <w:jc w:val="both"/>
        <w:rPr>
          <w:color w:val="000000"/>
          <w:sz w:val="24"/>
          <w:szCs w:val="24"/>
        </w:rPr>
      </w:pPr>
      <w:r>
        <w:rPr>
          <w:color w:val="000000"/>
          <w:sz w:val="24"/>
          <w:szCs w:val="24"/>
        </w:rPr>
        <w:t xml:space="preserve">Ułatwianie poczucia własnej wartości, które jest znaczące dla danej osoby (osób) w jej osobistym i kulturowym kontekście </w:t>
      </w:r>
    </w:p>
    <w:p w14:paraId="6CCF2486" w14:textId="77777777" w:rsidR="00463149" w:rsidRDefault="00463149" w:rsidP="00463149">
      <w:pPr>
        <w:numPr>
          <w:ilvl w:val="0"/>
          <w:numId w:val="2"/>
        </w:numPr>
        <w:spacing w:after="0" w:line="360" w:lineRule="auto"/>
        <w:jc w:val="both"/>
        <w:rPr>
          <w:color w:val="000000"/>
          <w:sz w:val="24"/>
          <w:szCs w:val="24"/>
        </w:rPr>
      </w:pPr>
      <w:r>
        <w:rPr>
          <w:color w:val="000000"/>
          <w:sz w:val="24"/>
          <w:szCs w:val="24"/>
        </w:rPr>
        <w:t xml:space="preserve">Docenianie różnorodności ludzkich doświadczeń i kultury </w:t>
      </w:r>
    </w:p>
    <w:p w14:paraId="61B90703" w14:textId="77777777" w:rsidR="00463149" w:rsidRDefault="00463149" w:rsidP="00463149">
      <w:pPr>
        <w:numPr>
          <w:ilvl w:val="0"/>
          <w:numId w:val="2"/>
        </w:numPr>
        <w:spacing w:after="0" w:line="360" w:lineRule="auto"/>
        <w:jc w:val="both"/>
        <w:rPr>
          <w:color w:val="000000"/>
          <w:sz w:val="24"/>
          <w:szCs w:val="24"/>
        </w:rPr>
      </w:pPr>
      <w:r>
        <w:rPr>
          <w:color w:val="000000"/>
          <w:sz w:val="24"/>
          <w:szCs w:val="24"/>
        </w:rPr>
        <w:t>Ochrona bezpieczeństwa doradców</w:t>
      </w:r>
    </w:p>
    <w:p w14:paraId="124EF24F" w14:textId="77777777" w:rsidR="00463149" w:rsidRDefault="00463149" w:rsidP="00463149">
      <w:pPr>
        <w:numPr>
          <w:ilvl w:val="0"/>
          <w:numId w:val="2"/>
        </w:numPr>
        <w:spacing w:after="0" w:line="360" w:lineRule="auto"/>
        <w:jc w:val="both"/>
        <w:rPr>
          <w:color w:val="000000"/>
          <w:sz w:val="24"/>
          <w:szCs w:val="24"/>
        </w:rPr>
      </w:pPr>
      <w:r>
        <w:rPr>
          <w:color w:val="000000"/>
          <w:sz w:val="24"/>
          <w:szCs w:val="24"/>
        </w:rPr>
        <w:t>Zapewnienie integralności relacji praktyk – doradca </w:t>
      </w:r>
    </w:p>
    <w:p w14:paraId="79B2699B" w14:textId="77777777" w:rsidR="00463149" w:rsidRDefault="00463149" w:rsidP="00463149">
      <w:pPr>
        <w:numPr>
          <w:ilvl w:val="0"/>
          <w:numId w:val="2"/>
        </w:numPr>
        <w:spacing w:after="0" w:line="360" w:lineRule="auto"/>
        <w:jc w:val="both"/>
        <w:rPr>
          <w:color w:val="000000"/>
          <w:sz w:val="24"/>
          <w:szCs w:val="24"/>
        </w:rPr>
      </w:pPr>
      <w:r>
        <w:rPr>
          <w:color w:val="000000"/>
          <w:sz w:val="24"/>
          <w:szCs w:val="24"/>
        </w:rPr>
        <w:t xml:space="preserve">Podnoszenie jakości wiedzy zawodowej i jej zastosowania </w:t>
      </w:r>
    </w:p>
    <w:p w14:paraId="4C8A6641" w14:textId="77777777" w:rsidR="00463149" w:rsidRDefault="00463149" w:rsidP="00463149">
      <w:pPr>
        <w:numPr>
          <w:ilvl w:val="0"/>
          <w:numId w:val="2"/>
        </w:numPr>
        <w:spacing w:after="0" w:line="360" w:lineRule="auto"/>
        <w:jc w:val="both"/>
        <w:rPr>
          <w:color w:val="000000"/>
          <w:sz w:val="24"/>
          <w:szCs w:val="24"/>
        </w:rPr>
      </w:pPr>
      <w:r>
        <w:rPr>
          <w:color w:val="000000"/>
          <w:sz w:val="24"/>
          <w:szCs w:val="24"/>
        </w:rPr>
        <w:t xml:space="preserve"> Dążenie do sprawiedliwego i odpowiedniego świadczenia usług. </w:t>
      </w:r>
    </w:p>
    <w:p w14:paraId="7481AAB2" w14:textId="77777777" w:rsidR="00463149" w:rsidRDefault="00463149" w:rsidP="00463149">
      <w:pPr>
        <w:spacing w:line="360" w:lineRule="auto"/>
        <w:jc w:val="both"/>
        <w:rPr>
          <w:color w:val="000000"/>
          <w:sz w:val="24"/>
          <w:szCs w:val="24"/>
        </w:rPr>
      </w:pPr>
      <w:r>
        <w:rPr>
          <w:color w:val="000000"/>
          <w:sz w:val="24"/>
          <w:szCs w:val="24"/>
        </w:rPr>
        <w:t>Wartości kształtują zasady. Stają się one bardziej precyzyjnie określone i zorientowane na działanie, gdy są wyrażone jako zasada.</w:t>
      </w:r>
    </w:p>
    <w:p w14:paraId="2D7E5BC3" w14:textId="77777777" w:rsidR="00463149" w:rsidRDefault="00463149" w:rsidP="00463149">
      <w:pPr>
        <w:spacing w:after="120" w:line="360" w:lineRule="auto"/>
        <w:jc w:val="both"/>
        <w:rPr>
          <w:sz w:val="24"/>
          <w:szCs w:val="24"/>
        </w:rPr>
      </w:pPr>
      <w:r>
        <w:rPr>
          <w:sz w:val="24"/>
          <w:szCs w:val="24"/>
        </w:rPr>
        <w:t>Dane poufne</w:t>
      </w:r>
    </w:p>
    <w:p w14:paraId="63930D4C" w14:textId="77777777" w:rsidR="00463149" w:rsidRDefault="00463149" w:rsidP="00463149">
      <w:pPr>
        <w:spacing w:after="120" w:line="360" w:lineRule="auto"/>
        <w:jc w:val="both"/>
        <w:rPr>
          <w:sz w:val="24"/>
          <w:szCs w:val="24"/>
        </w:rPr>
      </w:pPr>
      <w:r>
        <w:rPr>
          <w:sz w:val="24"/>
          <w:szCs w:val="24"/>
        </w:rPr>
        <w:t>Pracując jako mentor rówieśniczy, należy pamiętać, że należy stosować bardziej rygorystyczne standardy ochrony danych, gdy pozyskuje się, uzyskuje dostęp, gromadzi, analizuje lub w inny sposób wykorzystuje dane dotyczące populacji wrażliwych i zagrożonych lub inne dane poufne. Należy pamiętać, że kontekst może przekształcić dane niepoufne w dane wrażliwe. Kontekst, w którym dane są wykorzystywane (np. uwarunkowania kulturowe, geograficzne, religijne, polityczne itp.), może wpłynąć na wpływ analizy danych na jedną lub więcej osób lub grup osób, nawet jeśli dane nie są wyraźnie osobiste lub poufne.</w:t>
      </w:r>
    </w:p>
    <w:p w14:paraId="0038F23C" w14:textId="459529A6" w:rsidR="00463149" w:rsidRPr="00463149" w:rsidRDefault="00463149" w:rsidP="00463149">
      <w:pPr>
        <w:spacing w:after="120" w:line="360" w:lineRule="auto"/>
        <w:jc w:val="both"/>
        <w:rPr>
          <w:sz w:val="24"/>
          <w:szCs w:val="24"/>
        </w:rPr>
        <w:sectPr w:rsidR="00463149" w:rsidRPr="00463149">
          <w:footerReference w:type="default" r:id="rId5"/>
          <w:pgSz w:w="11906" w:h="16838"/>
          <w:pgMar w:top="1440" w:right="1440" w:bottom="1440" w:left="1440" w:header="708" w:footer="708" w:gutter="0"/>
          <w:cols w:space="720"/>
        </w:sectPr>
      </w:pPr>
      <w:r>
        <w:rPr>
          <w:sz w:val="24"/>
          <w:szCs w:val="24"/>
        </w:rPr>
        <w:t xml:space="preserve">Zdecydowanie zaleca się proaktywne przyjęcie podstawowych zasad ochrony prywatności                 w fazie projektowania oraz stosowanie technologii zwiększających ochronę prywatności na każdym etapie cyklu życia danych, aby zapewnić solidną ochronę danych w celu zapobiegania zagrożeniom i szkodom związanym z prywatnością. Jeżeli jesteś e-konsultantem, dane osobowe Twoich klientów powinny być w stosownych przypadkach pozbawione tożsamości, np. poprzez agregację, pseudonimizację lub maskowanie, w celu zminimalizowania </w:t>
      </w:r>
      <w:r>
        <w:rPr>
          <w:sz w:val="24"/>
          <w:szCs w:val="24"/>
        </w:rPr>
        <w:lastRenderedPageBreak/>
        <w:t>potencjalnego ryzyka dla prywatności i rozważenia prawdopodobnego wystąpienia potencjalnych szkód związanych z wykorzystaniem lub niewykorzystaniem danych.</w:t>
      </w:r>
    </w:p>
    <w:p w14:paraId="19F522A2"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9CD9" w14:textId="77777777" w:rsidR="00947BBF"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0A31"/>
    <w:multiLevelType w:val="multilevel"/>
    <w:tmpl w:val="65A83486"/>
    <w:lvl w:ilvl="0">
      <w:start w:val="1"/>
      <w:numFmt w:val="bullet"/>
      <w:lvlText w:val="-"/>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02931AD"/>
    <w:multiLevelType w:val="multilevel"/>
    <w:tmpl w:val="F9024EC4"/>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5544335">
    <w:abstractNumId w:val="0"/>
  </w:num>
  <w:num w:numId="2" w16cid:durableId="361983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49"/>
    <w:rsid w:val="00027B7F"/>
    <w:rsid w:val="00463149"/>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B750"/>
  <w15:chartTrackingRefBased/>
  <w15:docId w15:val="{0DF260DE-C684-49A2-850D-0B4E545A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49"/>
    <w:rPr>
      <w:rFonts w:ascii="Calibri" w:eastAsia="Calibri" w:hAnsi="Calibri" w:cs="Calibri"/>
      <w:lang w:val="pl-PL" w:eastAsia="sk-SK"/>
    </w:rPr>
  </w:style>
  <w:style w:type="paragraph" w:styleId="Heading2">
    <w:name w:val="heading 2"/>
    <w:basedOn w:val="Normal"/>
    <w:link w:val="Heading2Char"/>
    <w:uiPriority w:val="9"/>
    <w:unhideWhenUsed/>
    <w:qFormat/>
    <w:rsid w:val="004631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149"/>
    <w:rPr>
      <w:rFonts w:ascii="Times New Roman" w:eastAsia="Times New Roman" w:hAnsi="Times New Roman" w:cs="Times New Roman"/>
      <w:b/>
      <w:bCs/>
      <w:sz w:val="36"/>
      <w:szCs w:val="36"/>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2023-02-13T11:15:00Z</dcterms:created>
  <dcterms:modified xsi:type="dcterms:W3CDTF">2023-02-13T11:16:00Z</dcterms:modified>
</cp:coreProperties>
</file>